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rPr>
          <w:rFonts w:ascii="宋体" w:hAnsi="宋体" w:eastAsia="宋体" w:cs="宋体"/>
          <w:b w:val="0"/>
          <w:i w:val="0"/>
          <w:caps w:val="0"/>
          <w:color w:val="565656"/>
          <w:spacing w:val="0"/>
          <w:sz w:val="24"/>
          <w:szCs w:val="24"/>
        </w:rPr>
      </w:pPr>
      <w:r>
        <w:rPr>
          <w:rFonts w:ascii="黑体" w:hAnsi="宋体" w:eastAsia="黑体" w:cs="黑体"/>
          <w:b/>
          <w:i w:val="0"/>
          <w:caps w:val="0"/>
          <w:color w:val="000000"/>
          <w:spacing w:val="0"/>
          <w:kern w:val="0"/>
          <w:sz w:val="44"/>
          <w:szCs w:val="44"/>
          <w:shd w:val="clear" w:fill="FFFFFF"/>
          <w:lang w:val="en-US" w:eastAsia="zh-CN" w:bidi="ar"/>
        </w:rPr>
        <w:t>2015年度部门决算说明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ascii="宋体" w:hAnsi="宋体" w:eastAsia="宋体" w:cs="宋体"/>
          <w:b w:val="0"/>
          <w:i w:val="0"/>
          <w:caps w:val="0"/>
          <w:color w:val="565656"/>
          <w:spacing w:val="0"/>
          <w:sz w:val="24"/>
          <w:szCs w:val="24"/>
        </w:rPr>
      </w:pPr>
      <w:r>
        <w:rPr>
          <w:rFonts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一、部门基本情况</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640"/>
        <w:jc w:val="left"/>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（一）部门职责</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　</w:t>
      </w:r>
      <w:r>
        <w:rPr>
          <w:rFonts w:ascii="宋体" w:hAnsi="宋体" w:eastAsia="宋体" w:cs="宋体"/>
          <w:b w:val="0"/>
          <w:i w:val="0"/>
          <w:caps w:val="0"/>
          <w:color w:val="000000"/>
          <w:spacing w:val="0"/>
          <w:sz w:val="18"/>
          <w:szCs w:val="18"/>
          <w:shd w:val="clear" w:fill="FFFFFF"/>
        </w:rPr>
        <w:t> </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依据《</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地方组织法</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的</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规定，区</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人大常委会</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机关的主要职责是：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1、</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区人民代表大会会议、区人大常委会会议、区人大常委会主任会议和以区人大常委会名义召开的其他会议的准备工作及会议期间的有关服务工作，会同选举任免联络工作委员会做好参加市人大会议的大祥代表团的有关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2、</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负责归口区人大常委会组成人员、区人大常委会会议、区人大常委会主任会议组成人员有关活动的具体组织工作。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3、</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负责协调区人大常委会机关各部门的有关工作，对意见不一致的问题提出处理意见，报区人大常委会领导同意决定。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4、</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负责归口处理区人大常委会机关的信访工作。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5、</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负责机关行政事务的具体安排落实工作。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6、</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负责区人大常委会机关财务管理、宣传报道、设施添置、文秘档案、人事劳资、退休干部管理、纪检监察、后勤保障及党群等工作。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7、负责</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全区人大系统干部培训管理工作。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8、</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负责起草常委会工作计划、总结、工作报告、领导讲话、常委会会议《公报》、常委会经验交流材料等有关文稿，并负责对外所行文件、文稿的归口把关及文件资料的印发管理。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9、</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负责小车管理。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10、会同有关部门做好上级人大、外地人大来我区检查或考察的接待工作。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pP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11、承办上级人大对口部门和区人大常委会及其主任会议交办的其他事项。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640"/>
        <w:jc w:val="left"/>
        <w:rPr>
          <w:rFonts w:hint="eastAsia" w:ascii="楷体_GB2312" w:hAnsi="Times New Roman" w:eastAsia="楷体_GB2312" w:cs="楷体_GB2312"/>
          <w:b w:val="0"/>
          <w:i w:val="0"/>
          <w:caps w:val="0"/>
          <w:color w:val="000000"/>
          <w:spacing w:val="0"/>
          <w:kern w:val="0"/>
          <w:sz w:val="32"/>
          <w:szCs w:val="32"/>
          <w:shd w:val="clear" w:fill="FFFFFF"/>
          <w:lang w:val="en-US" w:eastAsia="zh-CN" w:bidi="ar"/>
        </w:rPr>
      </w:pP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（二）部门决算单位构成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64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根据《中共邵阳市大祥区委办公室关于印发&lt;邵阳市大祥区人大机关改革方案&gt;的通知》（大办字【2002】76号），设立邵阳市大祥区人民代表大会常务委员会委员机关及其内设机构，邵阳市大祥区人民代表大会常务委员会机关预算编制单位为区人大机关及其内设机构。邵阳市大祥区人民代表大会常务委员会办公室包括机关本级和1个全额拨款事业单位（邵阳市大祥区人大常委会电子信息化工作站）。</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二、2015年收入支出决算总体情况说明　</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640"/>
        <w:jc w:val="left"/>
        <w:rPr>
          <w:rFonts w:hint="eastAsia" w:ascii="楷体_GB2312" w:hAnsi="Times New Roman" w:eastAsia="楷体_GB2312" w:cs="楷体_GB2312"/>
          <w:b w:val="0"/>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2015年度收入总计284.9万元，其中财政拨款收入275.1万元，年初财政拨款结转和结余9.8万元。2015年度本年支出合计284.9万元，其中：基本支出284.9万元，占支出合计的100%；未产生项目支出费用。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right="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2015年财政拨款结转和结余16.6万元，其中：基本支出结转16.6万元。　</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三、2015年度一般公共预算财政拨款支出决算情况说明　</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64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（一）一般公共预算财政拨款支出决算总体情况</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2015年度一般公共预算财政拨款支出268.2万元，主要用于以下方面（按大类）：一般公共服务支出268.2万元，占本年财政拨款支出94.13%。</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　　（二）一般公共预算财政拨款支出决算具体情况</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1、“一般公共服务支出”（类）2015年度决算268.2万元。其中：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人大事务”（款）2015年度决算255.8万元，“行政运行”（项）2015年度决算163.9万元，“一般行政管理事务”（项）2015年度决算41万元，“人大会议”（项）2015年度决算30万元，“代表工作”（项）2015年度决算20.9万元。</w:t>
      </w:r>
      <w:r>
        <w:rPr>
          <w:rFonts w:ascii="楷体_GB2312" w:hAnsi="宋体" w:eastAsia="楷体_GB2312" w:cs="楷体_GB2312"/>
          <w:b w:val="0"/>
          <w:i w:val="0"/>
          <w:caps w:val="0"/>
          <w:color w:val="000000"/>
          <w:spacing w:val="0"/>
          <w:sz w:val="32"/>
          <w:szCs w:val="32"/>
          <w:shd w:val="clear" w:fill="FFFFFF"/>
        </w:rPr>
        <w:t>主要用于职工工资及津补贴发放等。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“人力资源事务”（款）2015年度决算12.4万元，“公务员考核”（项）12.4万元。主要用于年终绩效考评。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right="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　四、2015年度政府性基金预算财政拨款支出决算情况说明　</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本年无此项支出。</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五、2015年度财政拨款基本支出经济分类决算情况说明</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640"/>
        <w:jc w:val="left"/>
        <w:rPr>
          <w:rFonts w:ascii="宋体" w:hAnsi="宋体" w:eastAsia="宋体" w:cs="宋体"/>
          <w:b w:val="0"/>
          <w:i w:val="0"/>
          <w:caps w:val="0"/>
          <w:color w:val="565656"/>
          <w:spacing w:val="0"/>
          <w:sz w:val="24"/>
          <w:szCs w:val="24"/>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2015年本部门使用财政拨款安排基本支出268.2万元，其中：（1）工资福利支出包括津贴补贴、奖金、社会保障缴费、伙食补助费；（2）商品和服务支出包括办公费、印刷费、手续费、邮电费差旅费维修（护）费、租赁费、会议费、培训费、公务接待费、劳务费、委托业务费、工会经费、公务用车运行</w:t>
      </w:r>
      <w:bookmarkStart w:id="0" w:name="_GoBack"/>
      <w:bookmarkEnd w:id="0"/>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维护费、其他交通费、其他商品和服务支出；（3）对个人和家庭补助支出包括退休费、抚恤金、住房公积金等。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ascii="宋体" w:hAnsi="宋体" w:eastAsia="宋体" w:cs="宋体"/>
          <w:b w:val="0"/>
          <w:i w:val="0"/>
          <w:caps w:val="0"/>
          <w:color w:val="565656"/>
          <w:spacing w:val="0"/>
          <w:sz w:val="24"/>
          <w:szCs w:val="24"/>
        </w:rPr>
      </w:pPr>
      <w:r>
        <w:rPr>
          <w:rFonts w:hint="eastAsia" w:ascii="宋体" w:hAnsi="宋体" w:eastAsia="宋体" w:cs="宋体"/>
          <w:b w:val="0"/>
          <w:i w:val="0"/>
          <w:caps w:val="0"/>
          <w:color w:val="000000"/>
          <w:spacing w:val="0"/>
          <w:kern w:val="0"/>
          <w:sz w:val="18"/>
          <w:szCs w:val="18"/>
          <w:shd w:val="clear" w:fill="FFFFFF"/>
          <w:lang w:val="en-US" w:eastAsia="zh-CN" w:bidi="ar"/>
        </w:rPr>
        <w:t> </w:t>
      </w:r>
    </w:p>
    <w:tbl>
      <w:tblPr>
        <w:tblStyle w:val="4"/>
        <w:tblpPr w:leftFromText="180" w:rightFromText="180" w:vertAnchor="text" w:horzAnchor="page" w:tblpX="812" w:tblpY="422"/>
        <w:tblOverlap w:val="never"/>
        <w:tblW w:w="10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51"/>
        <w:gridCol w:w="1152"/>
        <w:gridCol w:w="933"/>
        <w:gridCol w:w="1044"/>
        <w:gridCol w:w="775"/>
        <w:gridCol w:w="375"/>
        <w:gridCol w:w="416"/>
        <w:gridCol w:w="568"/>
        <w:gridCol w:w="286"/>
        <w:gridCol w:w="806"/>
        <w:gridCol w:w="120"/>
        <w:gridCol w:w="972"/>
        <w:gridCol w:w="1153"/>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4" w:hRule="atLeast"/>
        </w:trPr>
        <w:tc>
          <w:tcPr>
            <w:tcW w:w="10900" w:type="dxa"/>
            <w:gridSpan w:val="14"/>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i w:val="0"/>
                <w:caps w:val="0"/>
                <w:color w:val="000000"/>
                <w:spacing w:val="0"/>
                <w:kern w:val="0"/>
                <w:sz w:val="32"/>
                <w:szCs w:val="32"/>
                <w:shd w:val="clear" w:fill="FFFFFF"/>
                <w:lang w:val="en-US" w:eastAsia="zh-CN" w:bidi="ar"/>
              </w:rPr>
              <w:t>2015年度“三公”经费财政拨款支出决算表及说明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9" w:hRule="atLeast"/>
        </w:trPr>
        <w:tc>
          <w:tcPr>
            <w:tcW w:w="3236" w:type="dxa"/>
            <w:gridSpan w:val="3"/>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right="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单位名称：大祥区人大常委会</w:t>
            </w:r>
          </w:p>
        </w:tc>
        <w:tc>
          <w:tcPr>
            <w:tcW w:w="1044" w:type="dxa"/>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w:t>
            </w:r>
          </w:p>
        </w:tc>
        <w:tc>
          <w:tcPr>
            <w:tcW w:w="775" w:type="dxa"/>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w:t>
            </w:r>
          </w:p>
        </w:tc>
        <w:tc>
          <w:tcPr>
            <w:tcW w:w="791" w:type="dxa"/>
            <w:gridSpan w:val="2"/>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w:t>
            </w:r>
          </w:p>
        </w:tc>
        <w:tc>
          <w:tcPr>
            <w:tcW w:w="854" w:type="dxa"/>
            <w:gridSpan w:val="2"/>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w:t>
            </w:r>
          </w:p>
        </w:tc>
        <w:tc>
          <w:tcPr>
            <w:tcW w:w="926" w:type="dxa"/>
            <w:gridSpan w:val="2"/>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w:t>
            </w:r>
          </w:p>
        </w:tc>
        <w:tc>
          <w:tcPr>
            <w:tcW w:w="3274" w:type="dxa"/>
            <w:gridSpan w:val="3"/>
            <w:tcBorders>
              <w:top w:val="nil"/>
              <w:left w:val="nil"/>
              <w:bottom w:val="single" w:color="000000" w:sz="8" w:space="0"/>
              <w:right w:val="nil"/>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1151"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 </w:t>
            </w:r>
          </w:p>
        </w:tc>
        <w:tc>
          <w:tcPr>
            <w:tcW w:w="1152"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“三公”经费财政拨款合计</w:t>
            </w:r>
          </w:p>
        </w:tc>
        <w:tc>
          <w:tcPr>
            <w:tcW w:w="933"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因公出国（境）费用</w:t>
            </w:r>
          </w:p>
        </w:tc>
        <w:tc>
          <w:tcPr>
            <w:tcW w:w="1044"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公务接待费</w:t>
            </w:r>
          </w:p>
        </w:tc>
        <w:tc>
          <w:tcPr>
            <w:tcW w:w="6620" w:type="dxa"/>
            <w:gridSpan w:val="10"/>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76" w:hRule="atLeast"/>
        </w:trPr>
        <w:tc>
          <w:tcPr>
            <w:tcW w:w="1151"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1152"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933"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1044"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1150" w:type="dxa"/>
            <w:gridSpan w:val="2"/>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公务用车购置费</w:t>
            </w:r>
          </w:p>
        </w:tc>
        <w:tc>
          <w:tcPr>
            <w:tcW w:w="5470" w:type="dxa"/>
            <w:gridSpan w:val="8"/>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61" w:hRule="atLeast"/>
        </w:trPr>
        <w:tc>
          <w:tcPr>
            <w:tcW w:w="1151"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1152"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933"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1044"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1150" w:type="dxa"/>
            <w:gridSpan w:val="2"/>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rPr>
                <w:rFonts w:hint="default" w:ascii="Arial" w:hAnsi="Arial" w:cs="Arial"/>
                <w:b w:val="0"/>
                <w:i w:val="0"/>
                <w:caps w:val="0"/>
                <w:color w:val="565656"/>
                <w:spacing w:val="0"/>
                <w:sz w:val="18"/>
                <w:szCs w:val="18"/>
              </w:rPr>
            </w:pPr>
          </w:p>
        </w:tc>
        <w:tc>
          <w:tcPr>
            <w:tcW w:w="984"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小计</w:t>
            </w:r>
          </w:p>
        </w:tc>
        <w:tc>
          <w:tcPr>
            <w:tcW w:w="1092"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公务用车加油</w:t>
            </w:r>
          </w:p>
        </w:tc>
        <w:tc>
          <w:tcPr>
            <w:tcW w:w="1092"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公务用车维修</w:t>
            </w:r>
          </w:p>
        </w:tc>
        <w:tc>
          <w:tcPr>
            <w:tcW w:w="115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default" w:ascii="Times New Roman" w:hAnsi="Times New Roman" w:eastAsia="楷体_GB2312" w:cs="Times New Roman"/>
                <w:b w:val="0"/>
                <w:i w:val="0"/>
                <w:caps w:val="0"/>
                <w:color w:val="000000"/>
                <w:spacing w:val="0"/>
                <w:kern w:val="0"/>
                <w:sz w:val="21"/>
                <w:szCs w:val="21"/>
                <w:shd w:val="clear" w:fill="FFFFFF"/>
                <w:lang w:val="en-US" w:eastAsia="zh-CN" w:bidi="ar"/>
              </w:rPr>
              <w:t>公务用车</w:t>
            </w: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保险</w:t>
            </w:r>
          </w:p>
        </w:tc>
        <w:tc>
          <w:tcPr>
            <w:tcW w:w="114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default" w:ascii="Arial" w:hAnsi="Arial" w:cs="Arial" w:eastAsiaTheme="minorEastAsia"/>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9" w:hRule="atLeast"/>
        </w:trPr>
        <w:tc>
          <w:tcPr>
            <w:tcW w:w="115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2015年决算</w:t>
            </w:r>
          </w:p>
        </w:tc>
        <w:tc>
          <w:tcPr>
            <w:tcW w:w="11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29.3</w:t>
            </w:r>
          </w:p>
        </w:tc>
        <w:tc>
          <w:tcPr>
            <w:tcW w:w="93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0</w:t>
            </w:r>
          </w:p>
        </w:tc>
        <w:tc>
          <w:tcPr>
            <w:tcW w:w="104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5.3</w:t>
            </w:r>
          </w:p>
        </w:tc>
        <w:tc>
          <w:tcPr>
            <w:tcW w:w="115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0.00</w:t>
            </w:r>
          </w:p>
        </w:tc>
        <w:tc>
          <w:tcPr>
            <w:tcW w:w="984"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24</w:t>
            </w:r>
          </w:p>
        </w:tc>
        <w:tc>
          <w:tcPr>
            <w:tcW w:w="1092"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13</w:t>
            </w:r>
          </w:p>
        </w:tc>
        <w:tc>
          <w:tcPr>
            <w:tcW w:w="1092"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8.8</w:t>
            </w:r>
          </w:p>
        </w:tc>
        <w:tc>
          <w:tcPr>
            <w:tcW w:w="115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2.2</w:t>
            </w:r>
          </w:p>
        </w:tc>
        <w:tc>
          <w:tcPr>
            <w:tcW w:w="114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pPr>
            <w:r>
              <w:rPr>
                <w:rFonts w:hint="eastAsia" w:ascii="楷体_GB2312" w:hAnsi="Times New Roman" w:eastAsia="楷体_GB2312" w:cs="楷体_GB2312"/>
                <w:b w:val="0"/>
                <w:i w:val="0"/>
                <w:caps w:val="0"/>
                <w:color w:val="000000"/>
                <w:spacing w:val="0"/>
                <w:kern w:val="0"/>
                <w:sz w:val="21"/>
                <w:szCs w:val="21"/>
                <w:shd w:val="clear" w:fill="FFFFFF"/>
                <w:lang w:val="en-US" w:eastAsia="zh-CN" w:bidi="ar"/>
              </w:rPr>
              <w:t>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ascii="宋体" w:hAnsi="宋体" w:eastAsia="宋体" w:cs="宋体"/>
          <w:b w:val="0"/>
          <w:i w:val="0"/>
          <w:caps w:val="0"/>
          <w:color w:val="565656"/>
          <w:spacing w:val="0"/>
          <w:sz w:val="24"/>
          <w:szCs w:val="24"/>
        </w:rPr>
      </w:pPr>
      <w:r>
        <w:rPr>
          <w:rFonts w:ascii="宋体" w:hAnsi="宋体" w:eastAsia="宋体" w:cs="宋体"/>
          <w:b w:val="0"/>
          <w:i w:val="0"/>
          <w:caps w:val="0"/>
          <w:color w:val="565656"/>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ascii="宋体" w:hAnsi="宋体" w:eastAsia="宋体" w:cs="宋体"/>
          <w:b w:val="0"/>
          <w:i w:val="0"/>
          <w:caps w:val="0"/>
          <w:color w:val="565656"/>
          <w:spacing w:val="0"/>
          <w:sz w:val="24"/>
          <w:szCs w:val="24"/>
        </w:rPr>
      </w:pP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注：“三公”经费财政拨款决算数，反映本部门使用当年财政拨款实际支出数和使用年初结转和结余资金实际支出数（包含一般公共预算拨款和政府性基金预算拨款）。</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一、“三公”经费的单位范围</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　　大祥区</w:t>
      </w:r>
      <w:r>
        <w:rPr>
          <w:rFonts w:hint="eastAsia" w:ascii="Times New Roman" w:hAnsi="Times New Roman" w:eastAsia="楷体_GB2312" w:cs="Times New Roman"/>
          <w:b w:val="0"/>
          <w:i w:val="0"/>
          <w:caps w:val="0"/>
          <w:color w:val="000000"/>
          <w:spacing w:val="0"/>
          <w:kern w:val="0"/>
          <w:sz w:val="32"/>
          <w:szCs w:val="32"/>
          <w:shd w:val="clear" w:fill="FFFFFF"/>
          <w:lang w:val="en-US" w:eastAsia="zh-CN" w:bidi="ar"/>
        </w:rPr>
        <w:t>人民代表大会常务委员会</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因公出国（境）费用、公务接待费、公务用车购置和公务用车运行维护费开支单位包括局本级和1个核算全额拨款事业单位。</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二、“三公”经费支出口径</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　　“三公”经费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支出。</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三、“三公”经费财政拨款决算情况说明</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2015年“三公”经费财政拨款决算数29.3万元。其中：</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　　</w:t>
      </w:r>
      <w:r>
        <w:rPr>
          <w:rFonts w:hint="default" w:ascii="楷体_GB2312" w:hAnsi="Times New Roman" w:eastAsia="楷体_GB2312" w:cs="楷体_GB2312"/>
          <w:b w:val="0"/>
          <w:i w:val="0"/>
          <w:caps w:val="0"/>
          <w:color w:val="000000"/>
          <w:spacing w:val="0"/>
          <w:kern w:val="0"/>
          <w:sz w:val="32"/>
          <w:szCs w:val="32"/>
          <w:shd w:val="clear" w:fill="FFFFFF"/>
          <w:lang w:val="en-US" w:eastAsia="zh-CN" w:bidi="ar"/>
        </w:rPr>
        <w:t>1</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.因公出国（境）费用。</w:t>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2015</w:t>
      </w:r>
      <w:r>
        <w:rPr>
          <w:rFonts w:hint="default" w:ascii="Times New Roman" w:hAnsi="Times New Roman" w:eastAsia="楷体_GB2312" w:cs="Times New Roman"/>
          <w:b w:val="0"/>
          <w:i w:val="0"/>
          <w:caps w:val="0"/>
          <w:color w:val="000000"/>
          <w:spacing w:val="0"/>
          <w:kern w:val="0"/>
          <w:sz w:val="32"/>
          <w:szCs w:val="32"/>
          <w:shd w:val="clear" w:fill="FFFFFF"/>
          <w:lang w:val="en-US" w:eastAsia="zh-CN" w:bidi="ar"/>
        </w:rPr>
        <w:t>年无因公出国（境）费用支出。</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2.公务接待费。2015年决算数5.3万元。2015年公务接待费主要用于上级单位及省、市等财政业务往来。公务接待29批次，公务接待192人次。</w:t>
      </w:r>
      <w:r>
        <w:rPr>
          <w:rFonts w:ascii="宋体" w:hAnsi="宋体" w:eastAsia="宋体" w:cs="宋体"/>
          <w:b w:val="0"/>
          <w:i w:val="0"/>
          <w:caps w:val="0"/>
          <w:color w:val="565656"/>
          <w:spacing w:val="0"/>
          <w:kern w:val="0"/>
          <w:sz w:val="24"/>
          <w:szCs w:val="24"/>
          <w:shd w:val="clear" w:fill="FFFFFF"/>
          <w:lang w:val="en-US" w:eastAsia="zh-CN" w:bidi="ar"/>
        </w:rPr>
        <w:br w:type="textWrapping"/>
      </w: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3.公务用车购置及运行维护费。2015年决算数24万元。其中：公务用车购置费2015年决算数0万元，公务用车运行维护费2015年决算数24万元。2015年公务用车运行维护费中，公务用车加油13万元，公务用车维修8.8万元，公务用车保险2.2万元，公务用车其他支出0万元。2015年实有公务用车7辆，车均运行维护费3.42万元。</w:t>
      </w:r>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left"/>
        <w:rPr>
          <w:rFonts w:hint="eastAsia" w:ascii="楷体_GB2312" w:hAnsi="Times New Roman" w:eastAsia="楷体_GB2312" w:cs="楷体_GB2312"/>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right"/>
        <w:rPr>
          <w:rFonts w:hint="eastAsia" w:ascii="楷体_GB2312" w:hAnsi="Times New Roman" w:eastAsia="楷体_GB2312" w:cs="楷体_GB2312"/>
          <w:b w:val="0"/>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xml:space="preserve">         邵阳市大祥区人民代表大会常务委员会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60" w:lineRule="atLeast"/>
        <w:ind w:left="0" w:right="0" w:firstLine="420"/>
        <w:jc w:val="cente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val="0"/>
          <w:i w:val="0"/>
          <w:caps w:val="0"/>
          <w:color w:val="000000"/>
          <w:spacing w:val="0"/>
          <w:kern w:val="0"/>
          <w:sz w:val="32"/>
          <w:szCs w:val="32"/>
          <w:shd w:val="clear" w:fill="FFFFFF"/>
          <w:lang w:val="en-US" w:eastAsia="zh-CN" w:bidi="ar"/>
        </w:rPr>
        <w:t xml:space="preserve">                 2016年10月20日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E4E05"/>
    <w:rsid w:val="208B5B36"/>
    <w:rsid w:val="463170CE"/>
    <w:rsid w:val="685C7A0E"/>
    <w:rsid w:val="7E8709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2016-10-20T07:21:12Z</cp:lastPrinted>
  <dcterms:modified xsi:type="dcterms:W3CDTF">2016-10-20T07:22:30Z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