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年度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eastAsia="zh-CN"/>
        </w:rPr>
        <w:t>大祥区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板桥乡人民政府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部门整体支出绩效评价报告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大祥区板桥乡人民政府按要求对2021年部门整体支出开展绩效自评，从评价情况来看，我乡2021年度整体支出绩效目标自评良好。项目绩效目标完成情况如下：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大祥区板桥乡位于大祥区东部，距大祥区人民政府驻地12公里。东邻邵东市魏家桥乡，南邻蔡锷乡，西接檀江街道，北毗邻邵水河，与双清区渡头桥镇隔河相望。境内东南高，最高山塘冲云阳山，海拔386米；西北低，最低李家山村烂码头，海拔222米。全境地势波状起伏，丘田阡陌，镶嵌其间。下辖龙头、召伯、立新、蔡家、金桥、板桥、云安、邵水、李家山、横冲10个村，总面积28.66平方公里，总人口2.48万人。粮食耕田面积14989.6亩，人均0.54亩。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境域自然资源丰富，邵水河毗邻4个村，流程12公里；板桥溪流程4.2公里，桥头溪流程1.5公里。2021年全乡有葡萄、柑橘、梨枣等果园2600亩，蔬菜基地2520亩，草莓500亩，西瓜600亩，山林5527亩，活立方蓄积8700平方米。地藏无烟煤、地面石灰岩。未开发草地、石山2034亩。高速公路、省道S231、县道过境。全乡所有村、农户均饮用自来水，安装各种路灯2000盏。经济区域基本形成东南林木、花卉、水果区；西南高科技产粮区；西部农产品加工企业区；北部沿河风光旅游区；中部商品贸易流通区。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2021年，全乡GDP增长5.8%,完成固定资产投资2.23亿元;规模工业增加值达到1.62亿元，同比增长5.73%；完成招商引资1.83亿元，同比增长6.1%；农民人均纯收入1.54万元，增长4.2%。板桥乡先后荣获全国退役军人服务保障先进单位、成功通过省级文明单位复审。</w:t>
      </w:r>
    </w:p>
    <w:p>
      <w:pPr>
        <w:bidi w:val="0"/>
        <w:ind w:firstLine="643" w:firstLineChars="200"/>
        <w:jc w:val="left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【乡村振兴工作】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2021年，全乡共有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省级美丽乡村示范村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3个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，打造省级精品村1个、省级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乡村振兴示范村3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个、市级美丽村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个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、区级美丽村2个，圆满完成全国文明村复审1个。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完成乡村两级便民服务中心建设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全乡</w:t>
      </w:r>
      <w:r>
        <w:rPr>
          <w:rFonts w:hint="default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10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个村级服务平台建设全部竣工验收</w:t>
      </w:r>
      <w:r>
        <w:rPr>
          <w:rFonts w:hint="default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完美疏通“最后一公里”障碍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;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完成基础道路建设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全力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配合完成S</w:t>
      </w:r>
      <w:r>
        <w:rPr>
          <w:rFonts w:hint="default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231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沿线道路建设</w:t>
      </w:r>
      <w:r>
        <w:rPr>
          <w:rFonts w:hint="default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、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邵板路道路维修工作；积极推行农村改厕工作,完成1032座改厕任务；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全面推进危房改造工作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,完成危房改造任务110户，竣工率达100%，入住率达90%，档案建立率100%，系统录入率100%,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危改资金全部通过 “一卡通”拨付至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农户手中；全力推进农村人居环境治理工作，重点实施“一拆、二改、三清、四化”工程，大力推广“户分类、村收集、乡转运”的垃圾集中处理办法，积极推动垃圾分类工作，采取定期卫生检查评比，建立清扫保洁长效机制，全乡卫生环境得到明显改善。按照“农业增效、农村增绿、农民增收”的总目标，我乡着力接续发展农业产业。大力发展农产品精深加工、农业种业、精品果蔬种植、农业科技转化等产业，采取“公司+基地+合作社+农户”这一模式，实现特色产业扩规提质，重点培育精品水果、绿色蔬菜、特色水产、苗木花卉、优质水稻等农业产业。全乡共发展产业基地62家，其中农业农头企业13家，特种作物种植面积已突破10000亩，每亩可实现纯收入2000元，每年可给每农户新增收入近2000元。建设苗圃花卉基地3000余亩、村级小游园5座、生态廊道面积200余亩，全面提高全乡绿色覆盖率。</w:t>
      </w:r>
    </w:p>
    <w:p>
      <w:pPr>
        <w:bidi w:val="0"/>
        <w:ind w:firstLine="643" w:firstLineChars="200"/>
        <w:jc w:val="left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【产业发展与设施建设】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2021年，按照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“做强龙头片区、兼顾其他点位”的思路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，通过文化提升、产业融合、旅居共建，将龙头片区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Hans"/>
        </w:rPr>
        <w:t>打造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成集文化体验、休养度假、田园观光为一体的召伯窑址文化特色小镇。要咬定“一个目标”，发挥山水田园观光和文化体验优势，通过文化引擎打造特色小镇，促进文旅融合发展，积极培育特色民宿、生态旅游等文旅融合新产品、新业态；要强推“两大行动”，依托召伯窑址、蔡家杨家祠堂、龙头汉墓群等文化资源，着力发展文旅产业；依托龙头片区的土布、竹刻和羽毛画等特色非遗文化，着力推动乡村旅游板块发展；要做好“三点示范”，一是围绕召伯村宋代古窑址，改造衡宝古商道，做好文化体验示范点；二要围绕龙头村康养中心和湿地公园，做好休养度假示范点;三是围绕立新村水产养殖基地，做好田园观光示范点。</w:t>
      </w:r>
    </w:p>
    <w:p>
      <w:pPr>
        <w:bidi w:val="0"/>
        <w:ind w:firstLine="643" w:firstLineChars="200"/>
        <w:jc w:val="left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【社会综合治理工作】</w:t>
      </w:r>
    </w:p>
    <w:p>
      <w:pPr>
        <w:bidi w:val="0"/>
        <w:ind w:firstLine="640" w:firstLineChars="200"/>
        <w:jc w:val="left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2021年，大力推进平安建设、法治建设，提升社会管理水平，促进社会和谐稳定。创新社会治理。扎实开展“智慧村”建设，加快完善末端感知系统建设，推进构建精细化、信息化、网格化的社会治安防控体系。认真开展“八五”普法宣传，发挥村民法制学校作用，抓好社区矫正和安置帮教，抓实“一村一辅警”和“一乡一村一消防”，夯实基层基础。强化重点领域突出治安问题整治，严厉打击传销、电诈、非法集资、吸毒等违法犯罪。加强网络信息舆情引导，提高突发事件应对能力，确保社会安定。改进信访工作。发挥信访主渠道作用，积极推进信访积案化解，注重民意收集与信息反馈，引导群众以理性合法的形式表达利益诉求。完善化解社会矛盾的领导协调、排查预警、疏导转化、调解处置等机制，切实把矛盾控制在源头、纠纷化解在基层做到小事不出村，大事不出乡。强化公共安全。严格落实“党政同责、一岗双责、失职追责”的安全生产责任制度，加快推进隐患排查治理体系和安全生产标准化建设，杜绝较大以上安全事故发生。抓紧抓实防学生溺水和交通问题顽瘴痼疾整治，加大食品药品监管力度，切实保障人民群众健康安全。加强乡村两级民兵应急力量建、管、用，着力提高抢险救灾和应急处突能力。</w:t>
      </w:r>
    </w:p>
    <w:p>
      <w:pPr>
        <w:bidi w:val="0"/>
        <w:ind w:firstLine="643" w:firstLineChars="200"/>
        <w:jc w:val="left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【开展民生实事工作】</w:t>
      </w:r>
    </w:p>
    <w:p>
      <w:pPr>
        <w:bidi w:val="0"/>
        <w:ind w:firstLine="640" w:firstLineChars="200"/>
        <w:jc w:val="left"/>
        <w:rPr>
          <w:rFonts w:hint="eastAsia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2021年，不断完善社会养老体系，实施全民参保登记计划，不断扩大各类社会保险覆盖面，巩固完善大病保险政策机制，城乡居民养老保险参保率达98%以上、医疗保险参保率达95%以上，基本实现社会保障全覆盖。落实特殊贫困群众综合社会保障政策，逐步提高城乡低保、困难救助的标准和水平，加强临时救助与最低生活保障之间的衔接，实现应救尽救、兜底救助，应保尽保、动态管理。完善文教事业体系。加强乡文化站所功能建设，完善健全村综合文化服务中心，大力开展乡、村群众文化活动。加强非物质文化遗产挖掘、保护和传承，推动非遗项目传承发展。提质改造中心完小，修缮通透式围墙，建好GPU篮球场。完善医疗服务体系。加强农村三级卫生服务网络建设，健全突发事件卫生应急体系，提升传染病疫情控制和救治能力。建立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健全农村医疗卫生服务网络和留守儿童、妇女、老人关爱服务体系，全面完成乡卫生院门诊综合楼建设，提升村卫生室标准化建设和健康管理水平。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宋体"/>
        <w:b/>
        <w:bCs/>
        <w:kern w:val="2"/>
        <w:sz w:val="18"/>
        <w:szCs w:val="4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zAxYzU4Y2Q0OTlkNmE0MzMwNmY3OTIwNzA3MDgifQ=="/>
  </w:docVars>
  <w:rsids>
    <w:rsidRoot w:val="00000000"/>
    <w:rsid w:val="08462E51"/>
    <w:rsid w:val="0ABF55A5"/>
    <w:rsid w:val="0FCE485A"/>
    <w:rsid w:val="256067E9"/>
    <w:rsid w:val="2B6A2EF0"/>
    <w:rsid w:val="3159202A"/>
    <w:rsid w:val="34391D07"/>
    <w:rsid w:val="34537F45"/>
    <w:rsid w:val="46195406"/>
    <w:rsid w:val="489857A5"/>
    <w:rsid w:val="48D94AC8"/>
    <w:rsid w:val="506A1F4D"/>
    <w:rsid w:val="5BE302BA"/>
    <w:rsid w:val="69DF7BC0"/>
    <w:rsid w:val="6F1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b/>
      <w:bCs/>
      <w:kern w:val="2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link w:val="12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next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2">
    <w:name w:val="正文文本缩进 Char"/>
    <w:link w:val="4"/>
    <w:uiPriority w:val="0"/>
    <w:rPr>
      <w:rFonts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2450</Words>
  <Characters>2601</Characters>
  <Lines>0</Lines>
  <Paragraphs>0</Paragraphs>
  <TotalTime>3</TotalTime>
  <ScaleCrop>false</ScaleCrop>
  <LinksUpToDate>false</LinksUpToDate>
  <CharactersWithSpaces>2602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安然</cp:lastModifiedBy>
  <cp:lastPrinted>2021-06-01T01:34:00Z</cp:lastPrinted>
  <dcterms:modified xsi:type="dcterms:W3CDTF">2022-10-12T05:43:37Z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52D4A9AC45F64E408161DE7D5490FD8C</vt:lpwstr>
  </property>
</Properties>
</file>