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jc w:val="center"/>
        <w:rPr>
          <w:rFonts w:hint="eastAsia" w:eastAsia="宋体"/>
          <w:kern w:val="0"/>
          <w:sz w:val="44"/>
          <w:szCs w:val="44"/>
          <w:lang w:val="en-US" w:eastAsia="zh-CN"/>
        </w:rPr>
      </w:pPr>
      <w:r>
        <w:t>2020</w:t>
      </w:r>
      <w:r>
        <w:rPr>
          <w:rFonts w:hint="eastAsia"/>
        </w:rPr>
        <w:t>年大祥区城乡居民医疗保险管理中心部门</w:t>
      </w:r>
      <w:r>
        <w:rPr>
          <w:rFonts w:hint="eastAsia"/>
          <w:lang w:eastAsia="zh-CN"/>
        </w:rPr>
        <w:t>绩效评价报告</w:t>
      </w:r>
    </w:p>
    <w:p>
      <w:pPr>
        <w:widowControl/>
        <w:spacing w:line="600" w:lineRule="exact"/>
        <w:jc w:val="center"/>
        <w:rPr>
          <w:rFonts w:eastAsia="楷体_GB2312"/>
          <w:bCs/>
          <w:kern w:val="0"/>
          <w:sz w:val="32"/>
          <w:szCs w:val="32"/>
        </w:rPr>
      </w:pPr>
    </w:p>
    <w:p>
      <w:pPr>
        <w:widowControl/>
        <w:spacing w:line="600" w:lineRule="exact"/>
        <w:jc w:val="center"/>
        <w:rPr>
          <w:rFonts w:eastAsia="方正小标宋_GBK"/>
          <w:bCs/>
          <w:kern w:val="0"/>
          <w:sz w:val="36"/>
          <w:szCs w:val="36"/>
        </w:rPr>
      </w:pPr>
    </w:p>
    <w:p>
      <w:pPr>
        <w:widowControl/>
        <w:spacing w:line="600" w:lineRule="exact"/>
        <w:ind w:firstLine="360" w:firstLineChars="100"/>
        <w:jc w:val="both"/>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eastAsia="zh-CN"/>
        </w:rPr>
        <w:t>一、</w:t>
      </w:r>
      <w:r>
        <w:rPr>
          <w:rFonts w:hint="eastAsia" w:ascii="黑体" w:hAnsi="黑体" w:eastAsia="黑体" w:cs="黑体"/>
          <w:b w:val="0"/>
          <w:bCs w:val="0"/>
          <w:kern w:val="0"/>
          <w:sz w:val="36"/>
          <w:szCs w:val="36"/>
        </w:rPr>
        <w:t>大祥区城乡居民医疗保险管中心部门概况</w:t>
      </w:r>
    </w:p>
    <w:p>
      <w:pPr>
        <w:pStyle w:val="8"/>
        <w:ind w:firstLine="0" w:firstLineChars="0"/>
        <w:jc w:val="left"/>
        <w:rPr>
          <w:rFonts w:ascii="黑体" w:hAnsi="黑体" w:eastAsia="黑体"/>
          <w:sz w:val="32"/>
          <w:szCs w:val="32"/>
        </w:rPr>
      </w:pP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lang w:eastAsia="zh-CN"/>
        </w:rPr>
        <w:t>（</w:t>
      </w:r>
      <w:r>
        <w:rPr>
          <w:rFonts w:hint="eastAsia" w:ascii="黑体" w:hAnsi="黑体" w:eastAsia="黑体"/>
          <w:bCs/>
          <w:kern w:val="0"/>
          <w:sz w:val="32"/>
          <w:szCs w:val="32"/>
        </w:rPr>
        <w:t>一</w:t>
      </w:r>
      <w:r>
        <w:rPr>
          <w:rFonts w:hint="eastAsia" w:ascii="黑体" w:hAnsi="黑体" w:eastAsia="黑体"/>
          <w:bCs/>
          <w:kern w:val="0"/>
          <w:sz w:val="32"/>
          <w:szCs w:val="32"/>
          <w:lang w:eastAsia="zh-CN"/>
        </w:rPr>
        <w:t>）</w:t>
      </w:r>
      <w:r>
        <w:rPr>
          <w:rFonts w:hint="eastAsia" w:ascii="黑体" w:hAnsi="黑体" w:eastAsia="黑体"/>
          <w:bCs/>
          <w:kern w:val="0"/>
          <w:sz w:val="32"/>
          <w:szCs w:val="32"/>
        </w:rPr>
        <w:t>部门职责</w:t>
      </w:r>
    </w:p>
    <w:p>
      <w:pPr>
        <w:widowControl/>
        <w:shd w:val="clear" w:color="auto" w:fill="FFFFFF"/>
        <w:spacing w:before="100" w:after="100" w:line="56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1、承担本辖区城乡医民医疗保险的业务管理、监督、指导和经办服务。负责制定城乡居民医保政策并组织实施，组织基金个人缴纳费用筹集和协调各级财政补助资金落实；</w:t>
      </w:r>
    </w:p>
    <w:p>
      <w:pPr>
        <w:widowControl/>
        <w:shd w:val="clear" w:color="auto" w:fill="FFFFFF"/>
        <w:spacing w:before="100" w:after="100" w:line="560" w:lineRule="atLeast"/>
        <w:ind w:left="638" w:leftChars="3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2、负责全区城乡医民医疗保险基金的监管与效益评估；</w:t>
      </w:r>
    </w:p>
    <w:p>
      <w:pPr>
        <w:widowControl/>
        <w:shd w:val="clear" w:color="auto" w:fill="FFFFFF"/>
        <w:spacing w:before="100" w:after="100" w:line="560" w:lineRule="atLeast"/>
        <w:ind w:left="638" w:leftChars="3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3、负责全区所有参保人员的信息录入、审批、结算等服务，定点医疗机构的医疗费用控制和结算服务；</w:t>
      </w:r>
    </w:p>
    <w:p>
      <w:pPr>
        <w:widowControl/>
        <w:spacing w:line="600" w:lineRule="exact"/>
        <w:ind w:firstLine="640" w:firstLineChars="200"/>
        <w:rPr>
          <w:rFonts w:hint="eastAsia" w:ascii="黑体" w:hAnsi="黑体" w:eastAsia="黑体"/>
          <w:bCs/>
          <w:kern w:val="0"/>
          <w:sz w:val="32"/>
          <w:szCs w:val="32"/>
        </w:rPr>
      </w:pPr>
      <w:r>
        <w:rPr>
          <w:rFonts w:hint="eastAsia" w:ascii="仿宋_GB2312" w:hAnsi="仿宋_GB2312" w:eastAsia="仿宋_GB2312" w:cs="仿宋_GB2312"/>
          <w:color w:val="000000"/>
          <w:kern w:val="0"/>
          <w:sz w:val="32"/>
          <w:szCs w:val="32"/>
        </w:rPr>
        <w:t>4、负责承办政府各部门下达的其他工作任务。</w:t>
      </w:r>
    </w:p>
    <w:p>
      <w:pPr>
        <w:widowControl/>
        <w:numPr>
          <w:ilvl w:val="0"/>
          <w:numId w:val="0"/>
        </w:numPr>
        <w:spacing w:line="600" w:lineRule="exact"/>
        <w:ind w:firstLine="321" w:firstLineChars="100"/>
        <w:rPr>
          <w:rFonts w:hint="eastAsia" w:ascii="楷体_GB2312" w:hAnsi="宋体" w:eastAsia="楷体_GB2312"/>
          <w:b/>
          <w:bCs/>
          <w:kern w:val="0"/>
          <w:sz w:val="32"/>
          <w:szCs w:val="32"/>
        </w:rPr>
      </w:pPr>
      <w:r>
        <w:rPr>
          <w:rFonts w:hint="eastAsia" w:ascii="楷体_GB2312" w:hAnsi="宋体" w:eastAsia="楷体_GB2312"/>
          <w:b/>
          <w:bCs/>
          <w:kern w:val="0"/>
          <w:sz w:val="32"/>
          <w:szCs w:val="32"/>
          <w:lang w:eastAsia="zh-CN"/>
        </w:rPr>
        <w:t>（二）</w:t>
      </w:r>
      <w:r>
        <w:rPr>
          <w:rFonts w:hint="eastAsia" w:ascii="楷体_GB2312" w:hAnsi="宋体" w:eastAsia="楷体_GB2312"/>
          <w:b/>
          <w:bCs/>
          <w:kern w:val="0"/>
          <w:sz w:val="32"/>
          <w:szCs w:val="32"/>
        </w:rPr>
        <w:t>内设机构设置。</w:t>
      </w:r>
    </w:p>
    <w:p>
      <w:pPr>
        <w:widowControl/>
        <w:numPr>
          <w:ilvl w:val="0"/>
          <w:numId w:val="0"/>
        </w:numPr>
        <w:spacing w:line="600" w:lineRule="exact"/>
        <w:ind w:firstLine="640" w:firstLineChars="200"/>
        <w:jc w:val="left"/>
        <w:rPr>
          <w:rFonts w:hint="eastAsia" w:eastAsia="仿宋_GB2312"/>
          <w:b/>
          <w:sz w:val="32"/>
          <w:szCs w:val="32"/>
          <w:lang w:val="en-US" w:eastAsia="zh-CN"/>
        </w:rPr>
      </w:pPr>
      <w:r>
        <w:rPr>
          <w:rFonts w:hint="eastAsia" w:ascii="仿宋_GB2312" w:hAnsi="仿宋_GB2312" w:eastAsia="仿宋_GB2312" w:cs="仿宋_GB2312"/>
          <w:color w:val="000000"/>
          <w:kern w:val="0"/>
          <w:sz w:val="32"/>
          <w:szCs w:val="32"/>
        </w:rPr>
        <w:t>根据区委、区政府批准的《关于设立“邵阳市大祥区新型农村合作医疗管理办公室”的批复》大编发[2008]5号文件，设立大祥区新型农村合作医疗管理办公室，为卫生和计划生育局下设的全额拨款二级机构，2016年10月根据区政府批准的《关于印发〈大祥区整合城乡居民医疗保险制度实施方案〉的通知》大政发[2016]20号文件，大祥区新型农村合作医疗管理办公室和大祥区居民医保合并为大祥区城乡居民医疗保险管理中心，</w:t>
      </w:r>
      <w:r>
        <w:rPr>
          <w:rFonts w:hint="eastAsia" w:ascii="仿宋_GB2312" w:hAnsi="仿宋_GB2312" w:eastAsia="仿宋_GB2312" w:cs="仿宋_GB2312"/>
          <w:b/>
          <w:bCs w:val="0"/>
          <w:sz w:val="32"/>
          <w:szCs w:val="32"/>
          <w:lang w:val="en-US" w:eastAsia="zh-CN"/>
        </w:rPr>
        <w:t>内设机构</w:t>
      </w:r>
      <w:r>
        <w:rPr>
          <w:rFonts w:hint="eastAsia" w:ascii="仿宋_GB2312" w:hAnsi="仿宋_GB2312" w:eastAsia="仿宋_GB2312" w:cs="仿宋_GB2312"/>
          <w:b w:val="0"/>
          <w:bCs/>
          <w:sz w:val="32"/>
          <w:szCs w:val="32"/>
          <w:lang w:val="en-US" w:eastAsia="zh-CN"/>
        </w:rPr>
        <w:t>：综合办公室、参保权益部、城乡居民医保和意外伤害服务部、异地就医服务部、信息统计部、医药协议服务和药品耗材招标采购部、特殊人员医保服务部。</w:t>
      </w:r>
    </w:p>
    <w:p>
      <w:pPr>
        <w:widowControl/>
        <w:shd w:val="clear" w:color="auto" w:fill="FFFFFF"/>
        <w:spacing w:before="100" w:after="100" w:line="560" w:lineRule="atLeast"/>
        <w:ind w:firstLine="640"/>
        <w:jc w:val="left"/>
        <w:rPr>
          <w:rFonts w:hint="eastAsia" w:ascii="仿宋_GB2312" w:hAnsi="仿宋_GB2312" w:eastAsia="仿宋_GB2312" w:cs="仿宋_GB2312"/>
          <w:color w:val="000000"/>
          <w:kern w:val="0"/>
          <w:sz w:val="32"/>
          <w:szCs w:val="32"/>
        </w:rPr>
      </w:pPr>
    </w:p>
    <w:p>
      <w:pPr>
        <w:pStyle w:val="2"/>
        <w:spacing w:line="600" w:lineRule="exact"/>
        <w:ind w:firstLine="320" w:firstLineChars="100"/>
        <w:rPr>
          <w:rFonts w:ascii="Times New Roman" w:hAnsi="Times New Roman" w:eastAsia="仿宋_GB2312" w:cs="Times New Roman"/>
          <w:color w:val="auto"/>
          <w:sz w:val="32"/>
          <w:szCs w:val="32"/>
          <w:u w:val="none"/>
        </w:rPr>
      </w:pPr>
      <w:bookmarkStart w:id="0" w:name="_GoBack"/>
      <w:bookmarkEnd w:id="0"/>
      <w:r>
        <w:rPr>
          <w:rFonts w:hint="eastAsia" w:hAnsi="黑体" w:cs="Times New Roman"/>
          <w:color w:val="auto"/>
          <w:sz w:val="32"/>
          <w:szCs w:val="32"/>
          <w:lang w:eastAsia="zh-CN"/>
        </w:rPr>
        <w:t>二、财务</w:t>
      </w:r>
      <w:r>
        <w:rPr>
          <w:rFonts w:hint="eastAsia" w:hAnsi="黑体" w:cs="Times New Roman"/>
          <w:color w:val="auto"/>
          <w:sz w:val="32"/>
          <w:szCs w:val="32"/>
        </w:rPr>
        <w:t>收入支出情况说明</w:t>
      </w:r>
    </w:p>
    <w:p>
      <w:pPr>
        <w:pStyle w:val="2"/>
        <w:spacing w:line="600" w:lineRule="exact"/>
        <w:ind w:firstLine="640" w:firstLineChars="200"/>
        <w:rPr>
          <w:rFonts w:hAnsi="黑体" w:cs="Times New Roman"/>
          <w:color w:val="auto"/>
          <w:sz w:val="32"/>
          <w:szCs w:val="32"/>
          <w:u w:val="none"/>
        </w:rPr>
      </w:pPr>
      <w:r>
        <w:rPr>
          <w:rFonts w:hint="eastAsia" w:hAnsi="黑体" w:cs="Times New Roman"/>
          <w:color w:val="auto"/>
          <w:sz w:val="32"/>
          <w:szCs w:val="32"/>
          <w:u w:val="none"/>
          <w:lang w:eastAsia="zh-CN"/>
        </w:rPr>
        <w:t>（一）</w:t>
      </w:r>
      <w:r>
        <w:rPr>
          <w:rFonts w:hint="eastAsia" w:hAnsi="黑体" w:cs="Times New Roman"/>
          <w:color w:val="auto"/>
          <w:sz w:val="32"/>
          <w:szCs w:val="32"/>
          <w:u w:val="none"/>
        </w:rPr>
        <w:t>收入决算情况说明</w:t>
      </w:r>
    </w:p>
    <w:p>
      <w:pPr>
        <w:pStyle w:val="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本年收入合计</w:t>
      </w:r>
      <w:r>
        <w:rPr>
          <w:rFonts w:ascii="Times New Roman" w:hAnsi="Times New Roman" w:eastAsia="仿宋_GB2312" w:cs="Times New Roman"/>
          <w:color w:val="auto"/>
          <w:sz w:val="32"/>
          <w:szCs w:val="32"/>
          <w:u w:val="none"/>
        </w:rPr>
        <w:t>130.30</w:t>
      </w:r>
      <w:r>
        <w:rPr>
          <w:rFonts w:hint="eastAsia" w:ascii="Times New Roman" w:hAnsi="Times New Roman" w:eastAsia="仿宋_GB2312" w:cs="Times New Roman"/>
          <w:color w:val="auto"/>
          <w:sz w:val="32"/>
          <w:szCs w:val="32"/>
          <w:u w:val="none"/>
        </w:rPr>
        <w:t>万元，其中：财政拨款收入</w:t>
      </w:r>
      <w:r>
        <w:rPr>
          <w:rFonts w:ascii="Times New Roman" w:hAnsi="Times New Roman" w:eastAsia="仿宋_GB2312" w:cs="Times New Roman"/>
          <w:color w:val="auto"/>
          <w:sz w:val="32"/>
          <w:szCs w:val="32"/>
          <w:u w:val="none"/>
        </w:rPr>
        <w:t>79.25</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61%</w:t>
      </w:r>
      <w:r>
        <w:rPr>
          <w:rFonts w:hint="eastAsia" w:ascii="Times New Roman" w:hAnsi="Times New Roman" w:eastAsia="仿宋_GB2312" w:cs="Times New Roman"/>
          <w:color w:val="auto"/>
          <w:sz w:val="32"/>
          <w:szCs w:val="32"/>
          <w:u w:val="none"/>
        </w:rPr>
        <w:t>；上级补助收入</w:t>
      </w:r>
      <w:r>
        <w:rPr>
          <w:rFonts w:ascii="Times New Roman" w:hAnsi="Times New Roman" w:eastAsia="仿宋_GB2312" w:cs="Times New Roman"/>
          <w:color w:val="auto"/>
          <w:sz w:val="32"/>
          <w:szCs w:val="32"/>
          <w:u w:val="none"/>
        </w:rPr>
        <w:t xml:space="preserve">0 </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0 %</w:t>
      </w:r>
      <w:r>
        <w:rPr>
          <w:rFonts w:hint="eastAsia" w:ascii="Times New Roman" w:hAnsi="Times New Roman" w:eastAsia="仿宋_GB2312" w:cs="Times New Roman"/>
          <w:color w:val="auto"/>
          <w:sz w:val="32"/>
          <w:szCs w:val="32"/>
          <w:u w:val="none"/>
        </w:rPr>
        <w:t>；事业收入</w:t>
      </w:r>
      <w:r>
        <w:rPr>
          <w:rFonts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0 %</w:t>
      </w:r>
      <w:r>
        <w:rPr>
          <w:rFonts w:hint="eastAsia" w:ascii="Times New Roman" w:hAnsi="Times New Roman" w:eastAsia="仿宋_GB2312" w:cs="Times New Roman"/>
          <w:color w:val="auto"/>
          <w:sz w:val="32"/>
          <w:szCs w:val="32"/>
          <w:u w:val="none"/>
        </w:rPr>
        <w:t>；经营收入</w:t>
      </w:r>
      <w:r>
        <w:rPr>
          <w:rFonts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 xml:space="preserve"> 0%</w:t>
      </w:r>
      <w:r>
        <w:rPr>
          <w:rFonts w:hint="eastAsia" w:ascii="Times New Roman" w:hAnsi="Times New Roman" w:eastAsia="仿宋_GB2312" w:cs="Times New Roman"/>
          <w:color w:val="auto"/>
          <w:sz w:val="32"/>
          <w:szCs w:val="32"/>
          <w:u w:val="none"/>
        </w:rPr>
        <w:t>；附属单位上缴收入</w:t>
      </w:r>
      <w:r>
        <w:rPr>
          <w:rFonts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0 %</w:t>
      </w:r>
      <w:r>
        <w:rPr>
          <w:rFonts w:hint="eastAsia" w:ascii="Times New Roman" w:hAnsi="Times New Roman" w:eastAsia="仿宋_GB2312" w:cs="Times New Roman"/>
          <w:color w:val="auto"/>
          <w:sz w:val="32"/>
          <w:szCs w:val="32"/>
          <w:u w:val="none"/>
        </w:rPr>
        <w:t>；其他收入</w:t>
      </w:r>
      <w:r>
        <w:rPr>
          <w:rFonts w:ascii="Times New Roman" w:hAnsi="Times New Roman" w:eastAsia="仿宋_GB2312" w:cs="Times New Roman"/>
          <w:color w:val="auto"/>
          <w:sz w:val="32"/>
          <w:szCs w:val="32"/>
          <w:u w:val="none"/>
        </w:rPr>
        <w:t xml:space="preserve"> 51.05  </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39%</w:t>
      </w:r>
      <w:r>
        <w:rPr>
          <w:rFonts w:hint="eastAsia" w:ascii="Times New Roman" w:hAnsi="Times New Roman" w:eastAsia="仿宋_GB2312" w:cs="Times New Roman"/>
          <w:color w:val="auto"/>
          <w:sz w:val="32"/>
          <w:szCs w:val="32"/>
          <w:u w:val="none"/>
        </w:rPr>
        <w:t>。</w:t>
      </w:r>
    </w:p>
    <w:p>
      <w:pPr>
        <w:pStyle w:val="2"/>
        <w:spacing w:line="600" w:lineRule="exact"/>
        <w:ind w:firstLine="640" w:firstLineChars="200"/>
        <w:rPr>
          <w:rFonts w:hAnsi="黑体" w:cs="Times New Roman"/>
          <w:color w:val="auto"/>
          <w:sz w:val="32"/>
          <w:szCs w:val="32"/>
          <w:u w:val="none"/>
        </w:rPr>
      </w:pPr>
      <w:r>
        <w:rPr>
          <w:rFonts w:hint="eastAsia" w:hAnsi="黑体" w:cs="Times New Roman"/>
          <w:color w:val="auto"/>
          <w:sz w:val="32"/>
          <w:szCs w:val="32"/>
          <w:u w:val="none"/>
          <w:lang w:eastAsia="zh-CN"/>
        </w:rPr>
        <w:t>（二）</w:t>
      </w:r>
      <w:r>
        <w:rPr>
          <w:rFonts w:hint="eastAsia" w:hAnsi="黑体" w:cs="Times New Roman"/>
          <w:color w:val="auto"/>
          <w:sz w:val="32"/>
          <w:szCs w:val="32"/>
          <w:u w:val="none"/>
        </w:rPr>
        <w:t>支出决算情况说明</w:t>
      </w:r>
    </w:p>
    <w:p>
      <w:pPr>
        <w:pStyle w:val="2"/>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本年支出合计</w:t>
      </w:r>
      <w:r>
        <w:rPr>
          <w:rFonts w:ascii="Times New Roman" w:hAnsi="Times New Roman" w:eastAsia="仿宋_GB2312" w:cs="Times New Roman"/>
          <w:color w:val="auto"/>
          <w:sz w:val="32"/>
          <w:szCs w:val="32"/>
          <w:u w:val="none"/>
        </w:rPr>
        <w:t>136.81</w:t>
      </w:r>
      <w:r>
        <w:rPr>
          <w:rFonts w:hint="eastAsia" w:ascii="Times New Roman" w:hAnsi="Times New Roman" w:eastAsia="仿宋_GB2312" w:cs="Times New Roman"/>
          <w:color w:val="auto"/>
          <w:sz w:val="32"/>
          <w:szCs w:val="32"/>
          <w:u w:val="none"/>
        </w:rPr>
        <w:t>万元，其中：基本支出</w:t>
      </w:r>
      <w:r>
        <w:rPr>
          <w:rFonts w:ascii="Times New Roman" w:hAnsi="Times New Roman" w:eastAsia="仿宋_GB2312" w:cs="Times New Roman"/>
          <w:color w:val="auto"/>
          <w:sz w:val="32"/>
          <w:szCs w:val="32"/>
          <w:u w:val="none"/>
        </w:rPr>
        <w:t>136.81</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100%</w:t>
      </w:r>
      <w:r>
        <w:rPr>
          <w:rFonts w:hint="eastAsia" w:ascii="Times New Roman" w:hAnsi="Times New Roman" w:eastAsia="仿宋_GB2312" w:cs="Times New Roman"/>
          <w:color w:val="auto"/>
          <w:sz w:val="32"/>
          <w:szCs w:val="32"/>
          <w:u w:val="none"/>
        </w:rPr>
        <w:t>；项目支出</w:t>
      </w:r>
      <w:r>
        <w:rPr>
          <w:rFonts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rPr>
        <w:t>；上缴上级支出</w:t>
      </w:r>
      <w:r>
        <w:rPr>
          <w:rFonts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rPr>
        <w:t>；经营支出</w:t>
      </w:r>
      <w:r>
        <w:rPr>
          <w:rFonts w:ascii="Times New Roman" w:hAnsi="Times New Roman" w:eastAsia="仿宋_GB2312" w:cs="Times New Roman"/>
          <w:color w:val="auto"/>
          <w:sz w:val="32"/>
          <w:szCs w:val="32"/>
          <w:u w:val="none"/>
        </w:rPr>
        <w:t xml:space="preserve">0 </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rPr>
        <w:t>；对附属单位补助支出</w:t>
      </w:r>
      <w:r>
        <w:rPr>
          <w:rFonts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rPr>
        <w:t>万元，占</w:t>
      </w:r>
      <w:r>
        <w:rPr>
          <w:rFonts w:ascii="Times New Roman" w:hAnsi="Times New Roman" w:eastAsia="仿宋_GB2312" w:cs="Times New Roman"/>
          <w:color w:val="auto"/>
          <w:sz w:val="32"/>
          <w:szCs w:val="32"/>
          <w:u w:val="none"/>
        </w:rPr>
        <w:t>0 %</w:t>
      </w:r>
      <w:r>
        <w:rPr>
          <w:rFonts w:hint="eastAsia" w:ascii="Times New Roman" w:hAnsi="Times New Roman" w:eastAsia="仿宋_GB2312" w:cs="Times New Roman"/>
          <w:color w:val="auto"/>
          <w:sz w:val="32"/>
          <w:szCs w:val="32"/>
          <w:u w:val="none"/>
        </w:rPr>
        <w:t>。</w:t>
      </w:r>
    </w:p>
    <w:p>
      <w:pPr>
        <w:pStyle w:val="2"/>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eastAsia="zh-CN"/>
        </w:rPr>
        <w:t>（三）收支结余情况说明</w:t>
      </w:r>
    </w:p>
    <w:p>
      <w:pPr>
        <w:spacing w:beforeLines="0" w:afterLines="0" w:line="520" w:lineRule="exact"/>
        <w:ind w:firstLine="64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2020年，本单位年末结转和结余资金</w:t>
      </w:r>
      <w:r>
        <w:rPr>
          <w:rFonts w:hint="eastAsia" w:ascii="仿宋_GB2312" w:hAnsi="仿宋_GB2312" w:eastAsia="仿宋_GB2312" w:cs="仿宋_GB2312"/>
          <w:sz w:val="32"/>
          <w:szCs w:val="32"/>
          <w:lang w:val="en-US" w:eastAsia="zh-CN"/>
        </w:rPr>
        <w:t>4.69万</w:t>
      </w:r>
      <w:r>
        <w:rPr>
          <w:rFonts w:hint="eastAsia" w:ascii="仿宋_GB2312" w:hAnsi="仿宋_GB2312" w:eastAsia="仿宋_GB2312" w:cs="仿宋_GB2312"/>
          <w:sz w:val="32"/>
          <w:szCs w:val="32"/>
          <w:lang w:val="en-US"/>
        </w:rPr>
        <w:t>元，根据资金性质其中：基本支出结转</w:t>
      </w:r>
      <w:r>
        <w:rPr>
          <w:rFonts w:hint="eastAsia" w:ascii="仿宋_GB2312" w:hAnsi="仿宋_GB2312" w:eastAsia="仿宋_GB2312" w:cs="仿宋_GB2312"/>
          <w:sz w:val="32"/>
          <w:szCs w:val="32"/>
          <w:lang w:val="en-US" w:eastAsia="zh-CN"/>
        </w:rPr>
        <w:t>4.69万</w:t>
      </w:r>
      <w:r>
        <w:rPr>
          <w:rFonts w:hint="eastAsia" w:ascii="仿宋_GB2312" w:hAnsi="仿宋_GB2312" w:eastAsia="仿宋_GB2312" w:cs="仿宋_GB2312"/>
          <w:sz w:val="32"/>
          <w:szCs w:val="32"/>
          <w:lang w:val="en-US"/>
        </w:rPr>
        <w:t>元</w:t>
      </w:r>
      <w:r>
        <w:rPr>
          <w:rFonts w:hint="eastAsia" w:ascii="仿宋_GB2312" w:hAnsi="仿宋_GB2312" w:eastAsia="仿宋_GB2312" w:cs="仿宋_GB2312"/>
          <w:sz w:val="32"/>
          <w:szCs w:val="32"/>
          <w:lang w:val="en-US" w:eastAsia="zh-CN"/>
        </w:rPr>
        <w:t>。</w:t>
      </w:r>
    </w:p>
    <w:p>
      <w:pPr>
        <w:pStyle w:val="2"/>
        <w:numPr>
          <w:ilvl w:val="0"/>
          <w:numId w:val="0"/>
        </w:numPr>
        <w:spacing w:line="600" w:lineRule="exact"/>
        <w:rPr>
          <w:rFonts w:hint="eastAsia" w:hAnsi="黑体" w:cs="Times New Roman"/>
          <w:color w:val="auto"/>
          <w:sz w:val="32"/>
          <w:szCs w:val="32"/>
          <w:lang w:eastAsia="zh-CN"/>
        </w:rPr>
      </w:pPr>
      <w:r>
        <w:rPr>
          <w:rFonts w:hint="eastAsia" w:hAnsi="黑体" w:cs="Times New Roman"/>
          <w:color w:val="auto"/>
          <w:sz w:val="32"/>
          <w:szCs w:val="32"/>
          <w:lang w:eastAsia="zh-CN"/>
        </w:rPr>
        <w:t>（四）</w:t>
      </w:r>
      <w:r>
        <w:rPr>
          <w:rFonts w:hint="eastAsia" w:ascii="黑体" w:hAnsi="黑体" w:eastAsia="黑体" w:cs="黑体"/>
          <w:b/>
          <w:bCs/>
          <w:i w:val="0"/>
          <w:caps w:val="0"/>
          <w:color w:val="555555"/>
          <w:spacing w:val="0"/>
          <w:sz w:val="32"/>
          <w:szCs w:val="32"/>
          <w:shd w:val="clear" w:fill="FFFFFF"/>
        </w:rPr>
        <w:t>支出绩效情况</w:t>
      </w:r>
    </w:p>
    <w:p>
      <w:pPr>
        <w:pStyle w:val="2"/>
        <w:numPr>
          <w:ilvl w:val="0"/>
          <w:numId w:val="0"/>
        </w:numPr>
        <w:spacing w:line="600" w:lineRule="exact"/>
        <w:ind w:firstLine="720" w:firstLineChars="200"/>
        <w:rPr>
          <w:rFonts w:hint="eastAsia" w:ascii="楷体_GB2312" w:hAnsi="楷体_GB2312" w:eastAsia="楷体_GB2312" w:cs="楷体_GB2312"/>
          <w:b w:val="0"/>
          <w:i w:val="0"/>
          <w:caps w:val="0"/>
          <w:color w:val="auto"/>
          <w:spacing w:val="0"/>
          <w:sz w:val="36"/>
          <w:szCs w:val="36"/>
          <w:shd w:val="clear" w:color="auto" w:fill="FFFFFF"/>
          <w:lang w:val="en-US" w:eastAsia="zh-CN"/>
        </w:rPr>
      </w:pPr>
      <w:r>
        <w:rPr>
          <w:rFonts w:hint="eastAsia" w:ascii="楷体_GB2312" w:hAnsi="楷体_GB2312" w:eastAsia="楷体_GB2312" w:cs="楷体_GB2312"/>
          <w:b w:val="0"/>
          <w:i w:val="0"/>
          <w:caps w:val="0"/>
          <w:color w:val="555555"/>
          <w:spacing w:val="0"/>
          <w:sz w:val="36"/>
          <w:szCs w:val="36"/>
          <w:shd w:val="clear" w:fill="FFFFFF"/>
        </w:rPr>
        <w:t>严格遵守各项财经纪律和财务管理制度，及时公开预决算，自觉接受财政和社会监督。加强财务管理，强化预算编制和执行，有效实施内部监督和控制，保证会计资料的真实性和完整性。实行“收支两条线”，确保财务收支平衡，加强财产物资管理，保障各项工作正常开展和目标任务完成。整体支出平稳，较好地实现社会效益和可持续效益目标。</w:t>
      </w:r>
    </w:p>
    <w:p>
      <w:pPr>
        <w:pStyle w:val="2"/>
        <w:numPr>
          <w:ilvl w:val="0"/>
          <w:numId w:val="0"/>
        </w:numPr>
        <w:spacing w:line="600" w:lineRule="exact"/>
        <w:ind w:leftChars="200"/>
        <w:rPr>
          <w:rFonts w:hAnsi="黑体" w:cs="Times New Roman"/>
          <w:color w:val="auto"/>
          <w:sz w:val="32"/>
          <w:szCs w:val="32"/>
        </w:rPr>
      </w:pPr>
      <w:r>
        <w:rPr>
          <w:rFonts w:hint="eastAsia" w:hAnsi="黑体" w:cs="Times New Roman"/>
          <w:color w:val="auto"/>
          <w:sz w:val="32"/>
          <w:szCs w:val="32"/>
          <w:lang w:eastAsia="zh-CN"/>
        </w:rPr>
        <w:t>三、</w:t>
      </w:r>
      <w:r>
        <w:rPr>
          <w:rFonts w:hAnsi="黑体" w:cs="Times New Roman"/>
          <w:color w:val="auto"/>
          <w:sz w:val="32"/>
          <w:szCs w:val="32"/>
        </w:rPr>
        <w:t>预算绩效情况</w:t>
      </w:r>
    </w:p>
    <w:p>
      <w:pPr>
        <w:pStyle w:val="2"/>
        <w:numPr>
          <w:ilvl w:val="0"/>
          <w:numId w:val="0"/>
        </w:numPr>
        <w:spacing w:line="600" w:lineRule="exact"/>
        <w:ind w:firstLine="960" w:firstLineChars="300"/>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rPr>
        <w:t>本部门整体支出和项目支出实行绩效目标管理，本部门整体支出和项目支出实行绩效目标管理，纳入</w:t>
      </w:r>
      <w:r>
        <w:rPr>
          <w:rFonts w:hint="eastAsia" w:ascii="仿宋_GB2312" w:hAnsi="仿宋_GB2312" w:eastAsia="仿宋_GB2312" w:cs="仿宋_GB2312"/>
          <w:b w:val="0"/>
          <w:i w:val="0"/>
          <w:caps w:val="0"/>
          <w:color w:val="auto"/>
          <w:spacing w:val="0"/>
          <w:sz w:val="32"/>
          <w:szCs w:val="32"/>
          <w:shd w:val="clear" w:color="auto" w:fill="FFFFFF"/>
          <w:lang w:val="en-US" w:eastAsia="zh-CN"/>
        </w:rPr>
        <w:t>2020</w:t>
      </w:r>
      <w:r>
        <w:rPr>
          <w:rFonts w:hint="eastAsia" w:ascii="仿宋_GB2312" w:hAnsi="仿宋_GB2312" w:eastAsia="仿宋_GB2312" w:cs="仿宋_GB2312"/>
          <w:b w:val="0"/>
          <w:i w:val="0"/>
          <w:caps w:val="0"/>
          <w:color w:val="auto"/>
          <w:spacing w:val="0"/>
          <w:sz w:val="32"/>
          <w:szCs w:val="32"/>
          <w:shd w:val="clear" w:color="auto" w:fill="FFFFFF"/>
        </w:rPr>
        <w:t>年部门整体支出绩效目标的金额为</w:t>
      </w:r>
      <w:r>
        <w:rPr>
          <w:rFonts w:hint="eastAsia" w:ascii="仿宋_GB2312" w:hAnsi="仿宋_GB2312" w:eastAsia="仿宋_GB2312" w:cs="仿宋_GB2312"/>
          <w:b w:val="0"/>
          <w:i w:val="0"/>
          <w:caps w:val="0"/>
          <w:color w:val="auto"/>
          <w:spacing w:val="0"/>
          <w:sz w:val="32"/>
          <w:szCs w:val="32"/>
          <w:shd w:val="clear" w:color="auto" w:fill="FFFFFF"/>
          <w:lang w:val="en-US" w:eastAsia="zh-CN"/>
        </w:rPr>
        <w:t>657.52</w:t>
      </w:r>
      <w:r>
        <w:rPr>
          <w:rFonts w:hint="eastAsia" w:ascii="仿宋_GB2312" w:hAnsi="仿宋_GB2312" w:eastAsia="仿宋_GB2312" w:cs="仿宋_GB2312"/>
          <w:b w:val="0"/>
          <w:i w:val="0"/>
          <w:caps w:val="0"/>
          <w:color w:val="auto"/>
          <w:spacing w:val="0"/>
          <w:sz w:val="32"/>
          <w:szCs w:val="32"/>
          <w:shd w:val="clear" w:color="auto" w:fill="FFFFFF"/>
        </w:rPr>
        <w:t>万元，其中，基本支出</w:t>
      </w:r>
      <w:r>
        <w:rPr>
          <w:rFonts w:hint="eastAsia" w:ascii="仿宋_GB2312" w:hAnsi="仿宋_GB2312" w:eastAsia="仿宋_GB2312" w:cs="仿宋_GB2312"/>
          <w:b w:val="0"/>
          <w:i w:val="0"/>
          <w:caps w:val="0"/>
          <w:color w:val="auto"/>
          <w:spacing w:val="0"/>
          <w:sz w:val="32"/>
          <w:szCs w:val="32"/>
          <w:shd w:val="clear" w:color="auto" w:fill="FFFFFF"/>
          <w:lang w:val="en-US" w:eastAsia="zh-CN"/>
        </w:rPr>
        <w:t>8.82</w:t>
      </w:r>
      <w:r>
        <w:rPr>
          <w:rFonts w:hint="eastAsia" w:ascii="仿宋_GB2312" w:hAnsi="仿宋_GB2312" w:eastAsia="仿宋_GB2312" w:cs="仿宋_GB2312"/>
          <w:b w:val="0"/>
          <w:i w:val="0"/>
          <w:caps w:val="0"/>
          <w:color w:val="auto"/>
          <w:spacing w:val="0"/>
          <w:sz w:val="32"/>
          <w:szCs w:val="32"/>
          <w:shd w:val="clear" w:color="auto" w:fill="FFFFFF"/>
        </w:rPr>
        <w:t>万元</w:t>
      </w:r>
      <w:r>
        <w:rPr>
          <w:rFonts w:hint="eastAsia" w:ascii="仿宋_GB2312" w:hAnsi="仿宋_GB2312" w:eastAsia="仿宋_GB2312" w:cs="仿宋_GB2312"/>
          <w:b w:val="0"/>
          <w:i w:val="0"/>
          <w:caps w:val="0"/>
          <w:color w:val="auto"/>
          <w:spacing w:val="0"/>
          <w:sz w:val="32"/>
          <w:szCs w:val="32"/>
          <w:shd w:val="clear" w:color="auto" w:fill="FFFFFF"/>
          <w:lang w:eastAsia="zh-CN"/>
        </w:rPr>
        <w:t>，项目支出</w:t>
      </w:r>
      <w:r>
        <w:rPr>
          <w:rFonts w:hint="eastAsia" w:ascii="仿宋_GB2312" w:hAnsi="仿宋_GB2312" w:eastAsia="仿宋_GB2312" w:cs="仿宋_GB2312"/>
          <w:b w:val="0"/>
          <w:i w:val="0"/>
          <w:caps w:val="0"/>
          <w:color w:val="auto"/>
          <w:spacing w:val="0"/>
          <w:sz w:val="32"/>
          <w:szCs w:val="32"/>
          <w:shd w:val="clear" w:color="auto" w:fill="FFFFFF"/>
          <w:lang w:val="en-US" w:eastAsia="zh-CN"/>
        </w:rPr>
        <w:t>574.7万元。</w:t>
      </w:r>
    </w:p>
    <w:p>
      <w:pPr>
        <w:pStyle w:val="2"/>
        <w:numPr>
          <w:ilvl w:val="0"/>
          <w:numId w:val="1"/>
        </w:numPr>
        <w:spacing w:line="600" w:lineRule="exact"/>
        <w:ind w:firstLine="320" w:firstLineChars="100"/>
        <w:rPr>
          <w:rFonts w:hint="eastAsia" w:ascii="黑体" w:hAnsi="黑体" w:eastAsia="黑体" w:cs="黑体"/>
          <w:b w:val="0"/>
          <w:i w:val="0"/>
          <w:caps w:val="0"/>
          <w:color w:val="auto"/>
          <w:spacing w:val="0"/>
          <w:sz w:val="32"/>
          <w:szCs w:val="32"/>
          <w:shd w:val="clear" w:color="auto" w:fill="FFFFFF"/>
          <w:lang w:val="en-US" w:eastAsia="zh-CN"/>
        </w:rPr>
      </w:pPr>
      <w:r>
        <w:rPr>
          <w:rFonts w:hint="eastAsia" w:ascii="黑体" w:hAnsi="黑体" w:eastAsia="黑体" w:cs="黑体"/>
          <w:b w:val="0"/>
          <w:i w:val="0"/>
          <w:caps w:val="0"/>
          <w:color w:val="auto"/>
          <w:spacing w:val="0"/>
          <w:sz w:val="32"/>
          <w:szCs w:val="32"/>
          <w:shd w:val="clear" w:color="auto" w:fill="FFFFFF"/>
          <w:lang w:val="en-US" w:eastAsia="zh-CN"/>
        </w:rPr>
        <w:t>绩效完成情况</w:t>
      </w:r>
    </w:p>
    <w:p>
      <w:pPr>
        <w:pStyle w:val="2"/>
        <w:numPr>
          <w:ilvl w:val="0"/>
          <w:numId w:val="0"/>
        </w:numPr>
        <w:spacing w:line="600" w:lineRule="exact"/>
        <w:ind w:firstLine="320" w:firstLineChars="100"/>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本中心在区政付和区医保局的正确领导下，2020年绩效完成取得了较好的成绩：</w:t>
      </w:r>
    </w:p>
    <w:p>
      <w:pPr>
        <w:pStyle w:val="2"/>
        <w:numPr>
          <w:ilvl w:val="0"/>
          <w:numId w:val="2"/>
        </w:numPr>
        <w:spacing w:line="600" w:lineRule="exact"/>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全区居民医保参保人数19.9万人，完成参保率99%。</w:t>
      </w:r>
    </w:p>
    <w:p>
      <w:pPr>
        <w:pStyle w:val="2"/>
        <w:numPr>
          <w:ilvl w:val="0"/>
          <w:numId w:val="0"/>
        </w:numPr>
        <w:spacing w:line="600" w:lineRule="exact"/>
        <w:rPr>
          <w:rFonts w:hint="default"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2、2020年基金收入4322万元，财政补助收10649.5万元；基金支付13117.5万元。</w:t>
      </w:r>
    </w:p>
    <w:p>
      <w:pPr>
        <w:spacing w:beforeLines="0" w:afterLines="0"/>
        <w:rPr>
          <w:rFonts w:hint="eastAsia" w:ascii="仿宋_GB2312" w:eastAsia="仿宋_GB2312"/>
          <w:sz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3、</w:t>
      </w:r>
      <w:r>
        <w:rPr>
          <w:rFonts w:hint="eastAsia" w:ascii="仿宋_GB2312" w:eastAsia="仿宋_GB2312"/>
          <w:sz w:val="32"/>
        </w:rPr>
        <w:t>2020年，通过医疗救助资金资助低保对象、特困供养人员、贫困人口、持证残疾人共14258人参加居民基本医疗保险，全额代缴个人缴费金额199.24万元。“四类人员”到市内定点医疗机构治疗的实现“一站式”结算，</w:t>
      </w:r>
      <w:r>
        <w:rPr>
          <w:rFonts w:hint="eastAsia" w:ascii="仿宋_GB2312" w:eastAsia="仿宋_GB2312"/>
          <w:sz w:val="32"/>
          <w:lang w:val="en-US" w:eastAsia="zh-CN"/>
        </w:rPr>
        <w:t>2020</w:t>
      </w:r>
      <w:r>
        <w:rPr>
          <w:rFonts w:hint="eastAsia" w:ascii="仿宋_GB2312" w:eastAsia="仿宋_GB2312"/>
          <w:sz w:val="32"/>
        </w:rPr>
        <w:t>年1月至2020年</w:t>
      </w:r>
      <w:r>
        <w:rPr>
          <w:rFonts w:hint="eastAsia" w:ascii="仿宋_GB2312" w:eastAsia="仿宋_GB2312"/>
          <w:sz w:val="32"/>
          <w:lang w:val="en-US" w:eastAsia="zh-CN"/>
        </w:rPr>
        <w:t>12</w:t>
      </w:r>
      <w:r>
        <w:rPr>
          <w:rFonts w:hint="eastAsia" w:ascii="仿宋_GB2312" w:eastAsia="仿宋_GB2312"/>
          <w:sz w:val="32"/>
        </w:rPr>
        <w:t>月，通过“一站式”结算平台全区共救助城乡低保户、特困供养人员、贫困人口门诊</w:t>
      </w:r>
      <w:r>
        <w:rPr>
          <w:rFonts w:hint="eastAsia" w:ascii="仿宋_GB2312" w:eastAsia="仿宋_GB2312"/>
          <w:sz w:val="32"/>
          <w:lang w:val="en-US" w:eastAsia="zh-CN"/>
        </w:rPr>
        <w:t>286</w:t>
      </w:r>
      <w:r>
        <w:rPr>
          <w:rFonts w:hint="eastAsia" w:ascii="仿宋_GB2312" w:eastAsia="仿宋_GB2312"/>
          <w:sz w:val="32"/>
        </w:rPr>
        <w:t>人次、住院</w:t>
      </w:r>
      <w:r>
        <w:rPr>
          <w:rFonts w:hint="eastAsia" w:ascii="仿宋_GB2312" w:eastAsia="仿宋_GB2312"/>
          <w:sz w:val="32"/>
          <w:lang w:val="en-US" w:eastAsia="zh-CN"/>
        </w:rPr>
        <w:t>1813</w:t>
      </w:r>
      <w:r>
        <w:rPr>
          <w:rFonts w:hint="eastAsia" w:ascii="仿宋_GB2312" w:eastAsia="仿宋_GB2312"/>
          <w:sz w:val="32"/>
        </w:rPr>
        <w:t>人次，共计医疗救助资金</w:t>
      </w:r>
      <w:r>
        <w:rPr>
          <w:rFonts w:hint="eastAsia" w:ascii="仿宋_GB2312" w:eastAsia="仿宋_GB2312"/>
          <w:sz w:val="32"/>
          <w:lang w:val="en-US" w:eastAsia="zh-CN"/>
        </w:rPr>
        <w:t xml:space="preserve">  58.49</w:t>
      </w:r>
      <w:r>
        <w:rPr>
          <w:rFonts w:hint="eastAsia" w:ascii="仿宋_GB2312" w:eastAsia="仿宋_GB2312"/>
          <w:sz w:val="32"/>
        </w:rPr>
        <w:t>万元，有效发挥了医疗救助的兜底保障作用。</w:t>
      </w:r>
    </w:p>
    <w:p>
      <w:pPr>
        <w:pStyle w:val="2"/>
        <w:widowControl w:val="0"/>
        <w:numPr>
          <w:ilvl w:val="0"/>
          <w:numId w:val="0"/>
        </w:numPr>
        <w:autoSpaceDE w:val="0"/>
        <w:autoSpaceDN w:val="0"/>
        <w:adjustRightInd w:val="0"/>
        <w:spacing w:line="600" w:lineRule="exact"/>
        <w:rPr>
          <w:rFonts w:hint="eastAsia" w:ascii="仿宋_GB2312" w:hAnsi="仿宋_GB2312" w:eastAsia="仿宋_GB2312" w:cs="仿宋_GB2312"/>
          <w:b w:val="0"/>
          <w:i w:val="0"/>
          <w:caps w:val="0"/>
          <w:color w:val="auto"/>
          <w:spacing w:val="0"/>
          <w:sz w:val="32"/>
          <w:szCs w:val="32"/>
          <w:shd w:val="clear" w:color="auto" w:fill="FFFFFF"/>
          <w:lang w:val="en-US" w:eastAsia="zh-CN"/>
        </w:rPr>
      </w:pPr>
    </w:p>
    <w:p>
      <w:pPr>
        <w:pStyle w:val="2"/>
        <w:widowControl w:val="0"/>
        <w:numPr>
          <w:ilvl w:val="0"/>
          <w:numId w:val="0"/>
        </w:numPr>
        <w:autoSpaceDE w:val="0"/>
        <w:autoSpaceDN w:val="0"/>
        <w:adjustRightInd w:val="0"/>
        <w:spacing w:line="600" w:lineRule="exact"/>
        <w:rPr>
          <w:rFonts w:hint="eastAsia" w:ascii="仿宋_GB2312" w:hAnsi="仿宋_GB2312" w:eastAsia="仿宋_GB2312" w:cs="仿宋_GB2312"/>
          <w:b w:val="0"/>
          <w:i w:val="0"/>
          <w:caps w:val="0"/>
          <w:color w:val="auto"/>
          <w:spacing w:val="0"/>
          <w:sz w:val="32"/>
          <w:szCs w:val="32"/>
          <w:shd w:val="clear" w:color="auto" w:fill="FFFFFF"/>
          <w:lang w:val="en-US" w:eastAsia="zh-CN"/>
        </w:rPr>
      </w:pPr>
    </w:p>
    <w:p>
      <w:pPr>
        <w:pStyle w:val="2"/>
        <w:widowControl w:val="0"/>
        <w:numPr>
          <w:ilvl w:val="0"/>
          <w:numId w:val="0"/>
        </w:numPr>
        <w:autoSpaceDE w:val="0"/>
        <w:autoSpaceDN w:val="0"/>
        <w:adjustRightInd w:val="0"/>
        <w:spacing w:line="600" w:lineRule="exact"/>
        <w:rPr>
          <w:rFonts w:hint="eastAsia" w:ascii="仿宋_GB2312" w:hAnsi="仿宋_GB2312" w:eastAsia="仿宋_GB2312" w:cs="仿宋_GB2312"/>
          <w:b w:val="0"/>
          <w:i w:val="0"/>
          <w:caps w:val="0"/>
          <w:color w:val="auto"/>
          <w:spacing w:val="0"/>
          <w:sz w:val="32"/>
          <w:szCs w:val="32"/>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43" w:firstLineChars="200"/>
        <w:rPr>
          <w:rFonts w:hint="eastAsia" w:ascii="黑体" w:hAnsi="黑体" w:eastAsia="黑体" w:cs="黑体"/>
          <w:b/>
          <w:bCs/>
          <w:i w:val="0"/>
          <w:caps w:val="0"/>
          <w:color w:val="555555"/>
          <w:spacing w:val="0"/>
          <w:sz w:val="32"/>
          <w:szCs w:val="32"/>
        </w:rPr>
      </w:pPr>
      <w:r>
        <w:rPr>
          <w:rFonts w:hint="eastAsia" w:ascii="黑体" w:hAnsi="黑体" w:eastAsia="黑体" w:cs="黑体"/>
          <w:b/>
          <w:bCs/>
          <w:i w:val="0"/>
          <w:caps w:val="0"/>
          <w:color w:val="555555"/>
          <w:spacing w:val="0"/>
          <w:sz w:val="32"/>
          <w:szCs w:val="32"/>
          <w:shd w:val="clear" w:fill="FFFFFF"/>
          <w:lang w:eastAsia="zh-CN"/>
        </w:rPr>
        <w:t>四</w:t>
      </w:r>
      <w:r>
        <w:rPr>
          <w:rFonts w:hint="eastAsia" w:ascii="黑体" w:hAnsi="黑体" w:eastAsia="黑体" w:cs="黑体"/>
          <w:b/>
          <w:bCs/>
          <w:i w:val="0"/>
          <w:caps w:val="0"/>
          <w:color w:val="555555"/>
          <w:spacing w:val="0"/>
          <w:sz w:val="32"/>
          <w:szCs w:val="32"/>
          <w:shd w:val="clear" w:fill="FFFFFF"/>
        </w:rPr>
        <w:t>、评价结论及建议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_GB2312" w:hAnsi="仿宋_GB2312" w:eastAsia="仿宋_GB2312" w:cs="仿宋_GB2312"/>
          <w:b w:val="0"/>
          <w:i w:val="0"/>
          <w:caps w:val="0"/>
          <w:color w:val="555555"/>
          <w:spacing w:val="0"/>
          <w:sz w:val="32"/>
          <w:szCs w:val="32"/>
        </w:rPr>
      </w:pPr>
      <w:r>
        <w:rPr>
          <w:rFonts w:hint="eastAsia" w:ascii="仿宋_GB2312" w:hAnsi="仿宋_GB2312" w:eastAsia="仿宋_GB2312" w:cs="仿宋_GB2312"/>
          <w:b w:val="0"/>
          <w:i w:val="0"/>
          <w:caps w:val="0"/>
          <w:color w:val="555555"/>
          <w:spacing w:val="0"/>
          <w:sz w:val="32"/>
          <w:szCs w:val="32"/>
          <w:shd w:val="clear" w:fill="FFFFFF"/>
        </w:rPr>
        <w:t>　　（一）评价结论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_GB2312" w:hAnsi="仿宋_GB2312" w:eastAsia="仿宋_GB2312" w:cs="仿宋_GB2312"/>
          <w:b w:val="0"/>
          <w:i w:val="0"/>
          <w:caps w:val="0"/>
          <w:color w:val="555555"/>
          <w:spacing w:val="0"/>
          <w:sz w:val="32"/>
          <w:szCs w:val="32"/>
        </w:rPr>
      </w:pPr>
      <w:r>
        <w:rPr>
          <w:rFonts w:hint="eastAsia" w:ascii="仿宋_GB2312" w:hAnsi="仿宋_GB2312" w:eastAsia="仿宋_GB2312" w:cs="仿宋_GB2312"/>
          <w:b w:val="0"/>
          <w:i w:val="0"/>
          <w:caps w:val="0"/>
          <w:color w:val="555555"/>
          <w:spacing w:val="0"/>
          <w:sz w:val="32"/>
          <w:szCs w:val="32"/>
          <w:shd w:val="clear" w:fill="FFFFFF"/>
        </w:rPr>
        <w:t>　　综上所述，我单位在预算编制、预算执行、支出绩效方面，严格按照规定执行，合理安排支出，使财政资金发挥最大使用效益。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_GB2312" w:hAnsi="仿宋_GB2312" w:eastAsia="仿宋_GB2312" w:cs="仿宋_GB2312"/>
          <w:b w:val="0"/>
          <w:i w:val="0"/>
          <w:caps w:val="0"/>
          <w:color w:val="555555"/>
          <w:spacing w:val="0"/>
          <w:sz w:val="32"/>
          <w:szCs w:val="32"/>
        </w:rPr>
      </w:pPr>
      <w:r>
        <w:rPr>
          <w:rFonts w:hint="eastAsia" w:ascii="仿宋_GB2312" w:hAnsi="仿宋_GB2312" w:eastAsia="仿宋_GB2312" w:cs="仿宋_GB2312"/>
          <w:b w:val="0"/>
          <w:i w:val="0"/>
          <w:caps w:val="0"/>
          <w:color w:val="555555"/>
          <w:spacing w:val="0"/>
          <w:sz w:val="32"/>
          <w:szCs w:val="32"/>
          <w:shd w:val="clear" w:fill="FFFFFF"/>
        </w:rPr>
        <w:t>　　（二）存在问题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_GB2312" w:hAnsi="仿宋_GB2312" w:eastAsia="仿宋_GB2312" w:cs="仿宋_GB2312"/>
          <w:b w:val="0"/>
          <w:i w:val="0"/>
          <w:caps w:val="0"/>
          <w:color w:val="555555"/>
          <w:spacing w:val="0"/>
          <w:sz w:val="32"/>
          <w:szCs w:val="32"/>
        </w:rPr>
      </w:pPr>
      <w:r>
        <w:rPr>
          <w:rFonts w:hint="eastAsia" w:ascii="仿宋_GB2312" w:hAnsi="仿宋_GB2312" w:eastAsia="仿宋_GB2312" w:cs="仿宋_GB2312"/>
          <w:b w:val="0"/>
          <w:i w:val="0"/>
          <w:caps w:val="0"/>
          <w:color w:val="555555"/>
          <w:spacing w:val="0"/>
          <w:sz w:val="32"/>
          <w:szCs w:val="32"/>
          <w:shd w:val="clear" w:fill="FFFFFF"/>
        </w:rPr>
        <w:t>　　预算管理和财务管理有待加强，经费核算需进一步完善。在核算过程中部分支出难以区分支出范围，资金使用存在界限不清的现象。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_GB2312" w:hAnsi="仿宋_GB2312" w:eastAsia="仿宋_GB2312" w:cs="仿宋_GB2312"/>
          <w:b w:val="0"/>
          <w:i w:val="0"/>
          <w:caps w:val="0"/>
          <w:color w:val="555555"/>
          <w:spacing w:val="0"/>
          <w:sz w:val="32"/>
          <w:szCs w:val="32"/>
        </w:rPr>
      </w:pPr>
      <w:r>
        <w:rPr>
          <w:rFonts w:hint="eastAsia" w:ascii="仿宋_GB2312" w:hAnsi="仿宋_GB2312" w:eastAsia="仿宋_GB2312" w:cs="仿宋_GB2312"/>
          <w:b w:val="0"/>
          <w:i w:val="0"/>
          <w:caps w:val="0"/>
          <w:color w:val="555555"/>
          <w:spacing w:val="0"/>
          <w:sz w:val="32"/>
          <w:szCs w:val="32"/>
          <w:shd w:val="clear" w:fill="FFFFFF"/>
        </w:rPr>
        <w:t>　　（三）改进建议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_GB2312" w:hAnsi="仿宋_GB2312" w:eastAsia="仿宋_GB2312" w:cs="仿宋_GB2312"/>
          <w:b w:val="0"/>
          <w:i w:val="0"/>
          <w:caps w:val="0"/>
          <w:color w:val="555555"/>
          <w:spacing w:val="0"/>
          <w:sz w:val="32"/>
          <w:szCs w:val="32"/>
        </w:rPr>
      </w:pPr>
      <w:r>
        <w:rPr>
          <w:rFonts w:hint="eastAsia" w:ascii="仿宋_GB2312" w:hAnsi="仿宋_GB2312" w:eastAsia="仿宋_GB2312" w:cs="仿宋_GB2312"/>
          <w:b w:val="0"/>
          <w:i w:val="0"/>
          <w:caps w:val="0"/>
          <w:color w:val="555555"/>
          <w:spacing w:val="0"/>
          <w:sz w:val="32"/>
          <w:szCs w:val="32"/>
          <w:shd w:val="clear" w:fill="FFFFFF"/>
        </w:rPr>
        <w:t>　　1、细化预算编制工作，认真做好年初预算编制。进一步加强单位内部各股室的预算管理意识，严格按照预算编制的相关要求进行编制。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_GB2312" w:hAnsi="仿宋_GB2312" w:eastAsia="仿宋_GB2312" w:cs="仿宋_GB2312"/>
          <w:b w:val="0"/>
          <w:i w:val="0"/>
          <w:caps w:val="0"/>
          <w:color w:val="555555"/>
          <w:spacing w:val="0"/>
          <w:sz w:val="32"/>
          <w:szCs w:val="32"/>
        </w:rPr>
      </w:pPr>
      <w:r>
        <w:rPr>
          <w:rFonts w:hint="eastAsia" w:ascii="仿宋_GB2312" w:hAnsi="仿宋_GB2312" w:eastAsia="仿宋_GB2312" w:cs="仿宋_GB2312"/>
          <w:b w:val="0"/>
          <w:i w:val="0"/>
          <w:caps w:val="0"/>
          <w:color w:val="555555"/>
          <w:spacing w:val="0"/>
          <w:sz w:val="32"/>
          <w:szCs w:val="32"/>
          <w:shd w:val="clear" w:fill="FFFFFF"/>
        </w:rPr>
        <w:t>　　2、加强财务管理，严格财务审核。加强单位财务管理，健全单位财务管理制度体系，规范单位财务行为。在费用报销时，按照预算规定的项目和用途进行资金使用审核、支付及财务核算，预防超支现象的发生。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_GB2312" w:hAnsi="仿宋_GB2312" w:eastAsia="仿宋_GB2312" w:cs="仿宋_GB2312"/>
          <w:b w:val="0"/>
          <w:i w:val="0"/>
          <w:caps w:val="0"/>
          <w:color w:val="555555"/>
          <w:spacing w:val="0"/>
          <w:sz w:val="32"/>
          <w:szCs w:val="32"/>
        </w:rPr>
      </w:pPr>
      <w:r>
        <w:rPr>
          <w:rFonts w:hint="eastAsia" w:ascii="仿宋_GB2312" w:hAnsi="仿宋_GB2312" w:eastAsia="仿宋_GB2312" w:cs="仿宋_GB2312"/>
          <w:b w:val="0"/>
          <w:i w:val="0"/>
          <w:caps w:val="0"/>
          <w:color w:val="555555"/>
          <w:spacing w:val="0"/>
          <w:sz w:val="32"/>
          <w:szCs w:val="32"/>
          <w:shd w:val="clear" w:fill="FFFFFF"/>
        </w:rPr>
        <w:t>　　3、加强对相关人员培训，特别是针对《预算法》、《政府会计制度》等方面学习培训，规范部门预算收支核算，切实提高部门预算收支管理水平。</w:t>
      </w:r>
    </w:p>
    <w:p>
      <w:pPr>
        <w:pStyle w:val="2"/>
        <w:widowControl w:val="0"/>
        <w:numPr>
          <w:ilvl w:val="0"/>
          <w:numId w:val="0"/>
        </w:numPr>
        <w:autoSpaceDE w:val="0"/>
        <w:autoSpaceDN w:val="0"/>
        <w:adjustRightInd w:val="0"/>
        <w:spacing w:line="600" w:lineRule="exact"/>
        <w:rPr>
          <w:rFonts w:hint="eastAsia" w:ascii="仿宋_GB2312" w:hAnsi="仿宋_GB2312" w:eastAsia="仿宋_GB2312" w:cs="仿宋_GB2312"/>
          <w:b w:val="0"/>
          <w:i w:val="0"/>
          <w:caps w:val="0"/>
          <w:color w:val="auto"/>
          <w:spacing w:val="0"/>
          <w:sz w:val="32"/>
          <w:szCs w:val="32"/>
          <w:shd w:val="clear" w:color="auto" w:fill="FFFFFF"/>
          <w:lang w:val="en-US" w:eastAsia="zh-CN"/>
        </w:rPr>
      </w:pPr>
    </w:p>
    <w:p>
      <w:pPr>
        <w:pStyle w:val="2"/>
        <w:widowControl w:val="0"/>
        <w:numPr>
          <w:ilvl w:val="0"/>
          <w:numId w:val="0"/>
        </w:numPr>
        <w:autoSpaceDE w:val="0"/>
        <w:autoSpaceDN w:val="0"/>
        <w:adjustRightInd w:val="0"/>
        <w:spacing w:line="600" w:lineRule="exact"/>
        <w:rPr>
          <w:rFonts w:hint="eastAsia" w:ascii="仿宋_GB2312" w:hAnsi="仿宋_GB2312" w:eastAsia="仿宋_GB2312" w:cs="仿宋_GB2312"/>
          <w:b w:val="0"/>
          <w:i w:val="0"/>
          <w:caps w:val="0"/>
          <w:color w:val="auto"/>
          <w:spacing w:val="0"/>
          <w:sz w:val="32"/>
          <w:szCs w:val="32"/>
          <w:shd w:val="clear" w:color="auto" w:fill="FFFFFF"/>
          <w:lang w:val="en-US" w:eastAsia="zh-CN"/>
        </w:rPr>
      </w:pPr>
    </w:p>
    <w:p>
      <w:pPr>
        <w:pStyle w:val="2"/>
        <w:numPr>
          <w:ilvl w:val="0"/>
          <w:numId w:val="0"/>
        </w:numPr>
        <w:spacing w:line="600" w:lineRule="exact"/>
        <w:ind w:firstLine="960" w:firstLineChars="300"/>
        <w:rPr>
          <w:rFonts w:hint="default" w:ascii="仿宋_GB2312" w:hAnsi="仿宋_GB2312" w:eastAsia="仿宋_GB2312" w:cs="仿宋_GB2312"/>
          <w:b w:val="0"/>
          <w:i w:val="0"/>
          <w:caps w:val="0"/>
          <w:color w:val="auto"/>
          <w:spacing w:val="0"/>
          <w:sz w:val="32"/>
          <w:szCs w:val="32"/>
          <w:shd w:val="clear" w:color="auto" w:fill="FFFFFF"/>
          <w:lang w:val="en-US" w:eastAsia="zh-CN"/>
        </w:rPr>
      </w:pPr>
    </w:p>
    <w:p>
      <w:pPr>
        <w:pStyle w:val="2"/>
        <w:numPr>
          <w:ilvl w:val="0"/>
          <w:numId w:val="0"/>
        </w:numPr>
        <w:spacing w:line="600" w:lineRule="exact"/>
        <w:rPr>
          <w:rFonts w:hint="eastAsia" w:hAnsi="黑体" w:cs="Times New Roman"/>
          <w:color w:val="auto"/>
          <w:sz w:val="32"/>
          <w:szCs w:val="32"/>
          <w:lang w:eastAsia="zh-CN"/>
        </w:rPr>
      </w:pPr>
    </w:p>
    <w:p>
      <w:pPr>
        <w:pStyle w:val="2"/>
        <w:spacing w:line="600" w:lineRule="exact"/>
        <w:ind w:firstLine="640" w:firstLineChars="200"/>
        <w:rPr>
          <w:rFonts w:hint="eastAsia" w:ascii="仿宋_GB2312" w:hAnsi="仿宋_GB2312" w:eastAsia="仿宋_GB2312" w:cs="仿宋_GB2312"/>
          <w:color w:val="auto"/>
          <w:sz w:val="32"/>
          <w:szCs w:val="32"/>
          <w:u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DE403B"/>
    <w:multiLevelType w:val="singleLevel"/>
    <w:tmpl w:val="CFDE403B"/>
    <w:lvl w:ilvl="0" w:tentative="0">
      <w:start w:val="4"/>
      <w:numFmt w:val="chineseCounting"/>
      <w:suff w:val="nothing"/>
      <w:lvlText w:val="%1、"/>
      <w:lvlJc w:val="left"/>
      <w:rPr>
        <w:rFonts w:hint="eastAsia"/>
      </w:rPr>
    </w:lvl>
  </w:abstractNum>
  <w:abstractNum w:abstractNumId="1">
    <w:nsid w:val="FF91C433"/>
    <w:multiLevelType w:val="singleLevel"/>
    <w:tmpl w:val="FF91C43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DD74F2C"/>
    <w:rsid w:val="0017552D"/>
    <w:rsid w:val="001E0292"/>
    <w:rsid w:val="003B0976"/>
    <w:rsid w:val="003E4283"/>
    <w:rsid w:val="004A4DC6"/>
    <w:rsid w:val="00540B5F"/>
    <w:rsid w:val="00565F56"/>
    <w:rsid w:val="006C17C6"/>
    <w:rsid w:val="007729A3"/>
    <w:rsid w:val="00B26360"/>
    <w:rsid w:val="00B338E0"/>
    <w:rsid w:val="00C57004"/>
    <w:rsid w:val="00DB0358"/>
    <w:rsid w:val="00ED19BE"/>
    <w:rsid w:val="00F53092"/>
    <w:rsid w:val="00F82001"/>
    <w:rsid w:val="00FA7EBF"/>
    <w:rsid w:val="01EB0742"/>
    <w:rsid w:val="045538EF"/>
    <w:rsid w:val="0C493F73"/>
    <w:rsid w:val="0F8A183D"/>
    <w:rsid w:val="15361BB8"/>
    <w:rsid w:val="1CFE6411"/>
    <w:rsid w:val="214D33CD"/>
    <w:rsid w:val="258266AB"/>
    <w:rsid w:val="29BE0E4A"/>
    <w:rsid w:val="303D6891"/>
    <w:rsid w:val="30F642B6"/>
    <w:rsid w:val="37A81F8B"/>
    <w:rsid w:val="4882607F"/>
    <w:rsid w:val="548365FA"/>
    <w:rsid w:val="557D39D4"/>
    <w:rsid w:val="57625CC4"/>
    <w:rsid w:val="58A277C7"/>
    <w:rsid w:val="593D004C"/>
    <w:rsid w:val="5B1F051B"/>
    <w:rsid w:val="61C934F9"/>
    <w:rsid w:val="669319E0"/>
    <w:rsid w:val="6D1C0483"/>
    <w:rsid w:val="6DD74F2C"/>
    <w:rsid w:val="6E4237F1"/>
    <w:rsid w:val="706E0A9D"/>
    <w:rsid w:val="74384BBC"/>
    <w:rsid w:val="7824421F"/>
    <w:rsid w:val="7C8B6DDC"/>
    <w:rsid w:val="7DBC35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99"/>
    <w:pPr>
      <w:spacing w:beforeAutospacing="1" w:afterAutospacing="1"/>
      <w:jc w:val="left"/>
      <w:outlineLvl w:val="0"/>
    </w:pPr>
    <w:rPr>
      <w:rFonts w:ascii="宋体" w:hAnsi="宋体"/>
      <w:b/>
      <w:bCs/>
      <w:kern w:val="44"/>
      <w:sz w:val="48"/>
      <w:szCs w:val="48"/>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4">
    <w:name w:val="Normal (Web)"/>
    <w:basedOn w:val="1"/>
    <w:qFormat/>
    <w:uiPriority w:val="99"/>
    <w:pPr>
      <w:spacing w:beforeAutospacing="1" w:afterAutospacing="1"/>
      <w:jc w:val="left"/>
    </w:pPr>
    <w:rPr>
      <w:kern w:val="0"/>
      <w:sz w:val="24"/>
    </w:rPr>
  </w:style>
  <w:style w:type="character" w:customStyle="1" w:styleId="7">
    <w:name w:val="Heading 1 Char"/>
    <w:basedOn w:val="6"/>
    <w:link w:val="3"/>
    <w:qFormat/>
    <w:locked/>
    <w:uiPriority w:val="99"/>
    <w:rPr>
      <w:rFonts w:cs="Times New Roman"/>
      <w:b/>
      <w:bCs/>
      <w:kern w:val="44"/>
      <w:sz w:val="44"/>
      <w:szCs w:val="44"/>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609</Words>
  <Characters>3473</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2021-09-11T08:31:00Z</dcterms:created>
  <dc:creator>舍  得</dc:creator>
  <cp:lastModifiedBy>zyc</cp:lastModifiedBy>
  <dcterms:modified xsi:type="dcterms:W3CDTF">2021-09-17T01:11:27Z</dcterms:modified>
  <dc:title>2020年×××部门决算说明及公开表格</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38A3963F4EC549D3BC8B711BDA7CF0FE</vt:lpwstr>
  </property>
</Properties>
</file>