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2021年度邵阳市大祥区妇女联合会部门整体绩效评价报告</w:t>
      </w:r>
    </w:p>
    <w:p>
      <w:pPr>
        <w:ind w:left="0" w:leftChars="0" w:firstLine="0" w:firstLineChars="0"/>
        <w:jc w:val="center"/>
        <w:rPr>
          <w:rFonts w:hint="eastAsia" w:ascii="方正小标宋简体" w:hAnsi="方正小标宋简体" w:eastAsia="方正小标宋简体" w:cs="方正小标宋简体"/>
          <w:sz w:val="52"/>
          <w:szCs w:val="52"/>
          <w:lang w:val="en-US" w:eastAsia="zh-CN"/>
        </w:rPr>
      </w:pPr>
    </w:p>
    <w:p>
      <w:pPr>
        <w:ind w:left="0" w:leftChars="0" w:firstLine="0" w:firstLineChars="0"/>
        <w:jc w:val="center"/>
        <w:rPr>
          <w:rFonts w:hint="eastAsia" w:ascii="方正小标宋简体" w:hAnsi="方正小标宋简体" w:eastAsia="方正小标宋简体" w:cs="方正小标宋简体"/>
          <w:sz w:val="52"/>
          <w:szCs w:val="52"/>
          <w:lang w:val="en-US" w:eastAsia="zh-CN"/>
        </w:rPr>
      </w:pPr>
    </w:p>
    <w:p>
      <w:pPr>
        <w:ind w:left="0" w:leftChars="0" w:firstLine="0" w:firstLineChars="0"/>
        <w:jc w:val="center"/>
        <w:rPr>
          <w:rFonts w:hint="eastAsia" w:ascii="方正小标宋简体" w:hAnsi="方正小标宋简体" w:eastAsia="方正小标宋简体" w:cs="方正小标宋简体"/>
          <w:sz w:val="52"/>
          <w:szCs w:val="52"/>
          <w:lang w:val="en-US" w:eastAsia="zh-CN"/>
        </w:rPr>
      </w:pPr>
    </w:p>
    <w:p>
      <w:pPr>
        <w:ind w:left="0" w:leftChars="0" w:firstLine="0" w:firstLineChars="0"/>
        <w:jc w:val="center"/>
        <w:rPr>
          <w:rFonts w:hint="eastAsia" w:ascii="方正小标宋简体" w:hAnsi="方正小标宋简体" w:eastAsia="方正小标宋简体" w:cs="方正小标宋简体"/>
          <w:sz w:val="52"/>
          <w:szCs w:val="52"/>
          <w:lang w:val="en-US" w:eastAsia="zh-CN"/>
        </w:rPr>
      </w:pPr>
    </w:p>
    <w:p>
      <w:pPr>
        <w:ind w:left="0" w:leftChars="0" w:firstLine="0" w:firstLineChars="0"/>
        <w:jc w:val="center"/>
        <w:rPr>
          <w:rFonts w:hint="eastAsia" w:ascii="方正小标宋简体" w:hAnsi="方正小标宋简体" w:eastAsia="方正小标宋简体" w:cs="方正小标宋简体"/>
          <w:sz w:val="52"/>
          <w:szCs w:val="52"/>
          <w:lang w:val="en-US" w:eastAsia="zh-CN"/>
        </w:rPr>
      </w:pPr>
    </w:p>
    <w:p>
      <w:pPr>
        <w:ind w:left="0" w:leftChars="0" w:firstLine="0" w:firstLineChars="0"/>
        <w:jc w:val="center"/>
        <w:rPr>
          <w:rFonts w:hint="eastAsia" w:ascii="方正小标宋简体" w:hAnsi="方正小标宋简体" w:eastAsia="方正小标宋简体" w:cs="方正小标宋简体"/>
          <w:sz w:val="52"/>
          <w:szCs w:val="52"/>
          <w:lang w:val="en-US" w:eastAsia="zh-CN"/>
        </w:rPr>
      </w:pPr>
    </w:p>
    <w:p>
      <w:pPr>
        <w:ind w:left="0" w:leftChars="0" w:firstLine="0" w:firstLineChars="0"/>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邵阳市大祥区妇女联合会</w:t>
      </w:r>
    </w:p>
    <w:p>
      <w:pPr>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2022年4月</w:t>
      </w:r>
    </w:p>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pPr>
        <w:ind w:left="0" w:leftChars="0" w:firstLine="0" w:firstLineChars="0"/>
        <w:jc w:val="center"/>
        <w:rPr>
          <w:rFonts w:hint="eastAsia" w:ascii="方正小标宋简体" w:eastAsia="方正小标宋简体"/>
          <w:sz w:val="36"/>
          <w:szCs w:val="36"/>
        </w:rPr>
      </w:pPr>
      <w:r>
        <w:rPr>
          <w:rFonts w:hint="eastAsia" w:ascii="方正小标宋简体" w:eastAsia="方正小标宋简体"/>
          <w:sz w:val="36"/>
          <w:szCs w:val="36"/>
          <w:lang w:val="en-US" w:eastAsia="zh-CN"/>
        </w:rPr>
        <w:t>2021年度邵阳市大祥区妇女联合会</w:t>
      </w:r>
      <w:r>
        <w:rPr>
          <w:rFonts w:hint="eastAsia" w:ascii="方正小标宋简体" w:eastAsia="方正小标宋简体"/>
          <w:sz w:val="36"/>
          <w:szCs w:val="36"/>
        </w:rPr>
        <w:t>部门整体绩效</w:t>
      </w:r>
      <w:r>
        <w:rPr>
          <w:rFonts w:hint="eastAsia" w:ascii="方正小标宋简体" w:eastAsia="方正小标宋简体"/>
          <w:sz w:val="36"/>
          <w:szCs w:val="36"/>
          <w:lang w:eastAsia="zh-CN"/>
        </w:rPr>
        <w:t>评价</w:t>
      </w:r>
      <w:r>
        <w:rPr>
          <w:rFonts w:hint="eastAsia" w:ascii="方正小标宋简体" w:eastAsia="方正小标宋简体"/>
          <w:sz w:val="36"/>
          <w:szCs w:val="36"/>
        </w:rPr>
        <w:t>报告</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部门概况</w:t>
      </w:r>
    </w:p>
    <w:p>
      <w:pPr>
        <w:keepNext w:val="0"/>
        <w:keepLines w:val="0"/>
        <w:pageBreakBefore w:val="0"/>
        <w:widowControl w:val="0"/>
        <w:numPr>
          <w:ilvl w:val="0"/>
          <w:numId w:val="2"/>
        </w:numPr>
        <w:kinsoku/>
        <w:wordWrap/>
        <w:overflowPunct/>
        <w:topLinePunct w:val="0"/>
        <w:autoSpaceDE/>
        <w:autoSpaceDN/>
        <w:bidi w:val="0"/>
        <w:adjustRightInd/>
        <w:snapToGrid/>
        <w:ind w:leftChars="0" w:firstLine="643" w:firstLineChars="200"/>
        <w:jc w:val="left"/>
        <w:textAlignment w:val="auto"/>
        <w:rPr>
          <w:rFonts w:hint="eastAsia" w:ascii="楷体" w:hAnsi="楷体" w:eastAsia="楷体" w:cs="楷体"/>
          <w:b/>
          <w:bCs/>
          <w:color w:val="000000"/>
          <w:kern w:val="0"/>
          <w:sz w:val="32"/>
          <w:szCs w:val="32"/>
          <w:lang w:val="en-US" w:eastAsia="zh-CN"/>
        </w:rPr>
      </w:pPr>
      <w:r>
        <w:rPr>
          <w:rFonts w:hint="eastAsia" w:ascii="楷体" w:hAnsi="楷体" w:eastAsia="楷体" w:cs="楷体"/>
          <w:b/>
          <w:bCs/>
          <w:color w:val="000000"/>
          <w:kern w:val="0"/>
          <w:sz w:val="32"/>
          <w:szCs w:val="32"/>
          <w:lang w:val="en-US" w:eastAsia="zh-CN"/>
        </w:rPr>
        <w:t>部门基本情况</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人员结构</w:t>
      </w:r>
    </w:p>
    <w:p>
      <w:pPr>
        <w:spacing w:line="360" w:lineRule="auto"/>
        <w:ind w:firstLine="600" w:firstLineChars="200"/>
        <w:jc w:val="both"/>
        <w:rPr>
          <w:rFonts w:hint="default" w:ascii="宋体" w:hAnsi="宋体" w:eastAsia="宋体" w:cs="宋体"/>
          <w:sz w:val="30"/>
          <w:szCs w:val="30"/>
          <w:lang w:val="en-US" w:eastAsia="zh-CN"/>
        </w:rPr>
      </w:pPr>
      <w:r>
        <w:rPr>
          <w:rFonts w:hint="eastAsia" w:ascii="宋体" w:hAnsi="宋体" w:cs="宋体"/>
          <w:sz w:val="30"/>
          <w:szCs w:val="30"/>
          <w:lang w:val="en-US" w:eastAsia="zh-CN"/>
        </w:rPr>
        <w:t>截止2021年12月31日，本单位共有编制4人，实有在职人员3人，退休人员1人。</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单位主要职能</w:t>
      </w:r>
    </w:p>
    <w:p>
      <w:pPr>
        <w:spacing w:line="360" w:lineRule="auto"/>
        <w:ind w:firstLine="600" w:firstLineChars="200"/>
        <w:jc w:val="both"/>
        <w:rPr>
          <w:rFonts w:hint="eastAsia" w:ascii="宋体" w:hAnsi="宋体" w:cs="宋体"/>
          <w:sz w:val="30"/>
          <w:szCs w:val="30"/>
          <w:lang w:val="en-US" w:eastAsia="zh-CN"/>
        </w:rPr>
      </w:pPr>
      <w:r>
        <w:rPr>
          <w:rFonts w:hint="eastAsia" w:ascii="宋体" w:hAnsi="宋体" w:cs="宋体"/>
          <w:sz w:val="30"/>
          <w:szCs w:val="30"/>
          <w:lang w:val="en-US" w:eastAsia="zh-CN"/>
        </w:rPr>
        <w:t>(1)、指导全区各级妇联组织依据《中华全国妇女联合会章程》和妇女代表大会的决定、决议，开展妇女儿童工作，联系团体会员，并给予业务指导。</w:t>
      </w:r>
    </w:p>
    <w:p>
      <w:pPr>
        <w:spacing w:line="360" w:lineRule="auto"/>
        <w:ind w:firstLine="600" w:firstLineChars="200"/>
        <w:jc w:val="both"/>
        <w:rPr>
          <w:rFonts w:hint="eastAsia" w:ascii="宋体" w:hAnsi="宋体" w:cs="宋体"/>
          <w:sz w:val="30"/>
          <w:szCs w:val="30"/>
          <w:lang w:val="en-US" w:eastAsia="zh-CN"/>
        </w:rPr>
      </w:pPr>
      <w:r>
        <w:rPr>
          <w:rFonts w:hint="eastAsia" w:ascii="宋体" w:hAnsi="宋体" w:cs="宋体"/>
          <w:sz w:val="30"/>
          <w:szCs w:val="30"/>
          <w:lang w:val="en-US" w:eastAsia="zh-CN"/>
        </w:rPr>
        <w:t>(2)、组织引导妇女学习贯彻习近平新时代中国特色社会主义思想和党的路线方针政策，用中国特色社会主义共同理想凝聚妇女。</w:t>
      </w:r>
    </w:p>
    <w:p>
      <w:pPr>
        <w:spacing w:line="360" w:lineRule="auto"/>
        <w:ind w:firstLine="600" w:firstLineChars="200"/>
        <w:jc w:val="both"/>
        <w:rPr>
          <w:rFonts w:hint="eastAsia" w:ascii="宋体" w:hAnsi="宋体" w:cs="宋体"/>
          <w:sz w:val="30"/>
          <w:szCs w:val="30"/>
          <w:lang w:val="en-US" w:eastAsia="zh-CN"/>
        </w:rPr>
      </w:pPr>
      <w:r>
        <w:rPr>
          <w:rFonts w:hint="eastAsia" w:ascii="宋体" w:hAnsi="宋体" w:cs="宋体"/>
          <w:sz w:val="30"/>
          <w:szCs w:val="30"/>
          <w:lang w:val="en-US" w:eastAsia="zh-CN"/>
        </w:rPr>
        <w:t>(3)、团结动员妇女投身改革开放和社会主义经济建设、政治建设、文化建设、社会建设和生态文明建设，注重发挥妇女在社会生活和家庭生活中的独特作用，为中国特色社会主义伟大实践作贡献。</w:t>
      </w:r>
    </w:p>
    <w:p>
      <w:pPr>
        <w:spacing w:line="360" w:lineRule="auto"/>
        <w:ind w:firstLine="600" w:firstLineChars="200"/>
        <w:jc w:val="both"/>
        <w:rPr>
          <w:rFonts w:hint="eastAsia" w:ascii="宋体" w:hAnsi="宋体" w:cs="宋体"/>
          <w:sz w:val="30"/>
          <w:szCs w:val="30"/>
          <w:lang w:val="en-US" w:eastAsia="zh-CN"/>
        </w:rPr>
      </w:pPr>
      <w:r>
        <w:rPr>
          <w:rFonts w:hint="eastAsia" w:ascii="宋体" w:hAnsi="宋体" w:cs="宋体"/>
          <w:sz w:val="30"/>
          <w:szCs w:val="30"/>
          <w:lang w:val="en-US" w:eastAsia="zh-CN"/>
        </w:rPr>
        <w:t>(4)、教育引导妇女树立自尊、自信、自立、自强的精神，提高综合素质，实现全面发展。宣传马克思主义妇女观，推动落实男女平等基本国策，营造有利于妇女全面发展的社会环境。宣传表彰优秀妇女典型，培养、推荐女性人才。</w:t>
      </w:r>
    </w:p>
    <w:p>
      <w:pPr>
        <w:spacing w:line="360" w:lineRule="auto"/>
        <w:ind w:firstLine="600" w:firstLineChars="200"/>
        <w:jc w:val="both"/>
        <w:rPr>
          <w:rFonts w:hint="eastAsia" w:ascii="宋体" w:hAnsi="宋体" w:cs="宋体"/>
          <w:sz w:val="30"/>
          <w:szCs w:val="30"/>
          <w:lang w:val="en-US" w:eastAsia="zh-CN"/>
        </w:rPr>
      </w:pPr>
      <w:r>
        <w:rPr>
          <w:rFonts w:hint="eastAsia" w:ascii="宋体" w:hAnsi="宋体" w:cs="宋体"/>
          <w:sz w:val="30"/>
          <w:szCs w:val="30"/>
          <w:lang w:val="en-US" w:eastAsia="zh-CN"/>
        </w:rPr>
        <w:t>(5)、教育引导妇女践行社会主义核心价值观，弘扬中华优秀文化，组织开展家庭文明创建，支持服务家庭教育，传承中华民族家庭美德，树立良好家风，推动形成家庭文明新风尚。指导和推动全区妇女参与乡村振兴、生态环境建设、城乡岗位建功和“文明家庭”创建活动。</w:t>
      </w:r>
    </w:p>
    <w:p>
      <w:pPr>
        <w:spacing w:line="360" w:lineRule="auto"/>
        <w:ind w:firstLine="600" w:firstLineChars="200"/>
        <w:jc w:val="both"/>
        <w:rPr>
          <w:rFonts w:hint="eastAsia" w:ascii="宋体" w:hAnsi="宋体" w:cs="宋体"/>
          <w:sz w:val="30"/>
          <w:szCs w:val="30"/>
          <w:lang w:val="en-US" w:eastAsia="zh-CN"/>
        </w:rPr>
      </w:pPr>
      <w:r>
        <w:rPr>
          <w:rFonts w:hint="eastAsia" w:ascii="宋体" w:hAnsi="宋体" w:cs="宋体"/>
          <w:sz w:val="30"/>
          <w:szCs w:val="30"/>
          <w:lang w:val="en-US" w:eastAsia="zh-CN"/>
        </w:rPr>
        <w:t>(6)、维护妇女儿童合法权益，倾听妇女意见，反映妇女诉求，调查研究妇女、儿童问题，为区委、区政府决策提供依据，提出建议。代表妇女参与管理国家事务、管理经济和文化事业、管理社会事务，参与民主决策、民主管理、民主监督，参与社会治理和公共服务，推动保障妇女权益法律政策的实施。协助区人民政府制定《大祥区妇女发展规划》和《大祥区儿童发展规划》，并组织实施。</w:t>
      </w:r>
    </w:p>
    <w:p>
      <w:pPr>
        <w:spacing w:line="360" w:lineRule="auto"/>
        <w:ind w:firstLine="600" w:firstLineChars="200"/>
        <w:jc w:val="both"/>
        <w:rPr>
          <w:rFonts w:hint="eastAsia" w:ascii="宋体" w:hAnsi="宋体" w:cs="宋体"/>
          <w:sz w:val="30"/>
          <w:szCs w:val="30"/>
          <w:lang w:val="en-US" w:eastAsia="zh-CN"/>
        </w:rPr>
      </w:pPr>
      <w:r>
        <w:rPr>
          <w:rFonts w:hint="eastAsia" w:ascii="宋体" w:hAnsi="宋体" w:cs="宋体"/>
          <w:sz w:val="30"/>
          <w:szCs w:val="30"/>
          <w:lang w:val="en-US" w:eastAsia="zh-CN"/>
        </w:rPr>
        <w:t>(7)、加强城乡基层妇女组织建设，扩大组织网络，拓宽工作领域。关心妇女工作生活，拓宽服务渠道，创新服务方式，建设服务阵地，发展公益事业，壮大巾帼志愿者队伍，加强妇女之家建设。联系和引导女性社会组织，加强与社会各界的协作，推动全社会为妇女儿童和家庭服务。</w:t>
      </w:r>
    </w:p>
    <w:p>
      <w:pPr>
        <w:spacing w:line="360" w:lineRule="auto"/>
        <w:ind w:firstLine="600" w:firstLineChars="200"/>
        <w:jc w:val="both"/>
        <w:rPr>
          <w:rFonts w:hint="eastAsia" w:ascii="宋体" w:hAnsi="宋体" w:cs="宋体"/>
          <w:sz w:val="30"/>
          <w:szCs w:val="30"/>
          <w:lang w:val="en-US" w:eastAsia="zh-CN"/>
        </w:rPr>
      </w:pPr>
      <w:r>
        <w:rPr>
          <w:rFonts w:hint="eastAsia" w:ascii="宋体" w:hAnsi="宋体" w:cs="宋体"/>
          <w:sz w:val="30"/>
          <w:szCs w:val="30"/>
          <w:lang w:val="en-US" w:eastAsia="zh-CN"/>
        </w:rPr>
        <w:t>(8)、负责与社会各界各族妇女的联络，与民主党派、工商联和团体会员之间的联系。</w:t>
      </w:r>
    </w:p>
    <w:p>
      <w:pPr>
        <w:spacing w:line="360" w:lineRule="auto"/>
        <w:ind w:firstLine="600" w:firstLineChars="200"/>
        <w:jc w:val="both"/>
        <w:rPr>
          <w:rFonts w:hint="eastAsia" w:ascii="宋体" w:hAnsi="宋体" w:cs="宋体"/>
          <w:sz w:val="30"/>
          <w:szCs w:val="30"/>
          <w:lang w:val="en-US" w:eastAsia="zh-CN"/>
        </w:rPr>
      </w:pPr>
      <w:r>
        <w:rPr>
          <w:rFonts w:hint="eastAsia" w:ascii="宋体" w:hAnsi="宋体" w:cs="宋体"/>
          <w:sz w:val="30"/>
          <w:szCs w:val="30"/>
          <w:lang w:val="en-US" w:eastAsia="zh-CN"/>
        </w:rPr>
        <w:t>(9)、承办区委、区人民政府交办的其他事项。</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机构设置</w:t>
      </w:r>
    </w:p>
    <w:p>
      <w:pPr>
        <w:spacing w:line="360" w:lineRule="auto"/>
        <w:ind w:firstLine="600" w:firstLineChars="200"/>
        <w:jc w:val="both"/>
        <w:rPr>
          <w:rFonts w:hint="eastAsia" w:ascii="宋体" w:hAnsi="宋体" w:cs="宋体"/>
          <w:sz w:val="30"/>
          <w:szCs w:val="30"/>
          <w:lang w:val="en-US" w:eastAsia="zh-CN"/>
        </w:rPr>
      </w:pPr>
      <w:r>
        <w:rPr>
          <w:rFonts w:hint="eastAsia" w:ascii="宋体" w:hAnsi="宋体" w:cs="宋体"/>
          <w:sz w:val="30"/>
          <w:szCs w:val="30"/>
          <w:lang w:val="en-US" w:eastAsia="zh-CN"/>
        </w:rPr>
        <w:t>邵阳市大祥区妇女联合会内设机构包括：办公室和综合部。</w:t>
      </w:r>
    </w:p>
    <w:p>
      <w:pPr>
        <w:keepNext w:val="0"/>
        <w:keepLines w:val="0"/>
        <w:pageBreakBefore w:val="0"/>
        <w:widowControl w:val="0"/>
        <w:numPr>
          <w:ilvl w:val="0"/>
          <w:numId w:val="2"/>
        </w:numPr>
        <w:kinsoku/>
        <w:wordWrap/>
        <w:overflowPunct/>
        <w:topLinePunct w:val="0"/>
        <w:autoSpaceDE/>
        <w:autoSpaceDN/>
        <w:bidi w:val="0"/>
        <w:adjustRightInd/>
        <w:snapToGrid/>
        <w:ind w:leftChars="0" w:firstLine="643" w:firstLineChars="200"/>
        <w:jc w:val="left"/>
        <w:textAlignment w:val="auto"/>
        <w:rPr>
          <w:rFonts w:hint="eastAsia" w:ascii="楷体" w:hAnsi="楷体" w:eastAsia="楷体" w:cs="楷体"/>
          <w:b/>
          <w:bCs/>
          <w:color w:val="000000"/>
          <w:kern w:val="0"/>
          <w:sz w:val="32"/>
          <w:szCs w:val="32"/>
          <w:lang w:val="en-US" w:eastAsia="zh-CN"/>
        </w:rPr>
      </w:pPr>
      <w:r>
        <w:rPr>
          <w:rFonts w:hint="eastAsia" w:ascii="楷体" w:hAnsi="楷体" w:eastAsia="楷体" w:cs="楷体"/>
          <w:b/>
          <w:bCs/>
          <w:color w:val="000000"/>
          <w:kern w:val="0"/>
          <w:sz w:val="32"/>
          <w:szCs w:val="32"/>
          <w:lang w:val="en-US" w:eastAsia="zh-CN"/>
        </w:rPr>
        <w:t>部门整体绩效目标</w:t>
      </w:r>
    </w:p>
    <w:p>
      <w:pPr>
        <w:spacing w:line="360" w:lineRule="auto"/>
        <w:ind w:firstLine="600" w:firstLineChars="200"/>
        <w:jc w:val="both"/>
        <w:rPr>
          <w:rFonts w:hint="eastAsia" w:ascii="宋体" w:hAnsi="宋体" w:cs="宋体"/>
          <w:sz w:val="30"/>
          <w:szCs w:val="30"/>
          <w:lang w:eastAsia="zh-CN"/>
        </w:rPr>
      </w:pPr>
      <w:r>
        <w:rPr>
          <w:rFonts w:hint="eastAsia" w:ascii="宋体" w:hAnsi="宋体" w:eastAsia="宋体" w:cs="宋体"/>
          <w:sz w:val="30"/>
          <w:szCs w:val="30"/>
          <w:lang w:eastAsia="zh-CN"/>
        </w:rPr>
        <w:t>目标设立从财政收入、财政支出、绩效管理、预算管理、防范风险等五个方面出发，旨在紧密围绕</w:t>
      </w:r>
      <w:r>
        <w:rPr>
          <w:rFonts w:hint="eastAsia" w:ascii="宋体" w:hAnsi="宋体" w:cs="宋体"/>
          <w:sz w:val="30"/>
          <w:szCs w:val="30"/>
          <w:lang w:eastAsia="zh-CN"/>
        </w:rPr>
        <w:t>区</w:t>
      </w:r>
      <w:r>
        <w:rPr>
          <w:rFonts w:hint="eastAsia" w:ascii="宋体" w:hAnsi="宋体" w:eastAsia="宋体" w:cs="宋体"/>
          <w:sz w:val="30"/>
          <w:szCs w:val="30"/>
          <w:lang w:eastAsia="zh-CN"/>
        </w:rPr>
        <w:t>委、</w:t>
      </w:r>
      <w:r>
        <w:rPr>
          <w:rFonts w:hint="eastAsia" w:ascii="宋体" w:hAnsi="宋体" w:cs="宋体"/>
          <w:sz w:val="30"/>
          <w:szCs w:val="30"/>
          <w:lang w:eastAsia="zh-CN"/>
        </w:rPr>
        <w:t>区</w:t>
      </w:r>
      <w:r>
        <w:rPr>
          <w:rFonts w:hint="eastAsia" w:ascii="宋体" w:hAnsi="宋体" w:eastAsia="宋体" w:cs="宋体"/>
          <w:sz w:val="30"/>
          <w:szCs w:val="30"/>
          <w:lang w:eastAsia="zh-CN"/>
        </w:rPr>
        <w:t>政府中心工作和重点任务，积极发挥</w:t>
      </w:r>
      <w:r>
        <w:rPr>
          <w:rFonts w:hint="eastAsia" w:ascii="宋体" w:hAnsi="宋体" w:cs="宋体"/>
          <w:sz w:val="30"/>
          <w:szCs w:val="30"/>
          <w:lang w:eastAsia="zh-CN"/>
        </w:rPr>
        <w:t>本单位在</w:t>
      </w:r>
      <w:r>
        <w:rPr>
          <w:rFonts w:hint="eastAsia" w:ascii="宋体" w:hAnsi="宋体" w:eastAsia="宋体" w:cs="宋体"/>
          <w:sz w:val="30"/>
          <w:szCs w:val="30"/>
          <w:lang w:eastAsia="zh-CN"/>
        </w:rPr>
        <w:t>全</w:t>
      </w:r>
      <w:r>
        <w:rPr>
          <w:rFonts w:hint="eastAsia" w:ascii="宋体" w:hAnsi="宋体" w:cs="宋体"/>
          <w:sz w:val="30"/>
          <w:szCs w:val="30"/>
          <w:lang w:eastAsia="zh-CN"/>
        </w:rPr>
        <w:t>区</w:t>
      </w:r>
      <w:r>
        <w:rPr>
          <w:rFonts w:hint="eastAsia" w:ascii="宋体" w:hAnsi="宋体" w:eastAsia="宋体" w:cs="宋体"/>
          <w:sz w:val="30"/>
          <w:szCs w:val="30"/>
          <w:lang w:eastAsia="zh-CN"/>
        </w:rPr>
        <w:t>治理中的基础和重要作用，</w:t>
      </w:r>
      <w:r>
        <w:rPr>
          <w:rFonts w:hint="eastAsia" w:ascii="宋体" w:hAnsi="宋体" w:cs="宋体"/>
          <w:sz w:val="30"/>
          <w:szCs w:val="30"/>
          <w:lang w:eastAsia="zh-CN"/>
        </w:rPr>
        <w:t>不断改进服务水平和质量，花尽量少的资金、办尽量多的实事，向社会公众提供更多、更好的公共产品和公共服务，使政府行为更加务实、高效。</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left"/>
        <w:textAlignment w:val="auto"/>
        <w:rPr>
          <w:rFonts w:hint="eastAsia" w:ascii="黑体" w:hAnsi="黑体" w:eastAsia="黑体" w:cs="宋体"/>
          <w:color w:val="000000"/>
          <w:kern w:val="0"/>
          <w:sz w:val="32"/>
          <w:szCs w:val="32"/>
          <w:lang w:eastAsia="zh-CN"/>
        </w:rPr>
      </w:pPr>
      <w:r>
        <w:rPr>
          <w:rFonts w:hint="eastAsia" w:ascii="黑体" w:hAnsi="黑体" w:eastAsia="黑体" w:cs="宋体"/>
          <w:color w:val="000000"/>
          <w:kern w:val="0"/>
          <w:sz w:val="32"/>
          <w:szCs w:val="32"/>
        </w:rPr>
        <w:t>当年预算执行情况</w:t>
      </w:r>
    </w:p>
    <w:p>
      <w:pPr>
        <w:spacing w:line="360" w:lineRule="auto"/>
        <w:ind w:firstLine="600" w:firstLineChars="200"/>
        <w:jc w:val="both"/>
        <w:rPr>
          <w:rFonts w:hint="eastAsia" w:ascii="宋体" w:hAnsi="宋体" w:eastAsia="宋体" w:cs="宋体"/>
          <w:sz w:val="30"/>
          <w:szCs w:val="30"/>
          <w:lang w:eastAsia="zh-CN"/>
        </w:rPr>
      </w:pPr>
      <w:r>
        <w:rPr>
          <w:rFonts w:hint="eastAsia" w:ascii="宋体" w:hAnsi="宋体" w:eastAsia="宋体" w:cs="宋体"/>
          <w:sz w:val="30"/>
          <w:szCs w:val="30"/>
          <w:lang w:eastAsia="zh-CN"/>
        </w:rPr>
        <w:t>2021年全年预算数为</w:t>
      </w:r>
      <w:r>
        <w:rPr>
          <w:rFonts w:hint="eastAsia" w:ascii="宋体" w:hAnsi="宋体" w:cs="宋体"/>
          <w:sz w:val="30"/>
          <w:szCs w:val="30"/>
          <w:lang w:val="en-US" w:eastAsia="zh-CN"/>
        </w:rPr>
        <w:t>93.2</w:t>
      </w:r>
      <w:r>
        <w:rPr>
          <w:rFonts w:hint="eastAsia" w:ascii="宋体" w:hAnsi="宋体" w:eastAsia="宋体" w:cs="宋体"/>
          <w:sz w:val="30"/>
          <w:szCs w:val="30"/>
          <w:lang w:eastAsia="zh-CN"/>
        </w:rPr>
        <w:t>万元，其中，基本支出预算数为</w:t>
      </w:r>
      <w:r>
        <w:rPr>
          <w:rFonts w:hint="eastAsia" w:ascii="宋体" w:hAnsi="宋体" w:cs="宋体"/>
          <w:sz w:val="30"/>
          <w:szCs w:val="30"/>
          <w:lang w:val="en-US" w:eastAsia="zh-CN"/>
        </w:rPr>
        <w:t>63.9</w:t>
      </w:r>
      <w:r>
        <w:rPr>
          <w:rFonts w:hint="eastAsia" w:ascii="宋体" w:hAnsi="宋体" w:eastAsia="宋体" w:cs="宋体"/>
          <w:sz w:val="30"/>
          <w:szCs w:val="30"/>
          <w:lang w:eastAsia="zh-CN"/>
        </w:rPr>
        <w:t>万元，项目支出预算数</w:t>
      </w:r>
      <w:r>
        <w:rPr>
          <w:rFonts w:hint="eastAsia" w:ascii="宋体" w:hAnsi="宋体" w:cs="宋体"/>
          <w:sz w:val="30"/>
          <w:szCs w:val="30"/>
          <w:lang w:val="en-US" w:eastAsia="zh-CN"/>
        </w:rPr>
        <w:t>29.3</w:t>
      </w:r>
      <w:r>
        <w:rPr>
          <w:rFonts w:hint="eastAsia" w:ascii="宋体" w:hAnsi="宋体" w:eastAsia="宋体" w:cs="宋体"/>
          <w:sz w:val="30"/>
          <w:szCs w:val="30"/>
          <w:lang w:eastAsia="zh-CN"/>
        </w:rPr>
        <w:t>万元。资金总体支出</w:t>
      </w:r>
      <w:r>
        <w:rPr>
          <w:rFonts w:hint="eastAsia" w:ascii="宋体" w:hAnsi="宋体" w:cs="宋体"/>
          <w:sz w:val="30"/>
          <w:szCs w:val="30"/>
          <w:lang w:val="en-US" w:eastAsia="zh-CN"/>
        </w:rPr>
        <w:t>121.62</w:t>
      </w:r>
      <w:r>
        <w:rPr>
          <w:rFonts w:hint="eastAsia" w:ascii="宋体" w:hAnsi="宋体" w:eastAsia="宋体" w:cs="宋体"/>
          <w:sz w:val="30"/>
          <w:szCs w:val="30"/>
          <w:lang w:eastAsia="zh-CN"/>
        </w:rPr>
        <w:t>万元，其中，基本支出</w:t>
      </w:r>
      <w:r>
        <w:rPr>
          <w:rFonts w:hint="eastAsia" w:ascii="宋体" w:hAnsi="宋体" w:cs="宋体"/>
          <w:sz w:val="30"/>
          <w:szCs w:val="30"/>
          <w:lang w:val="en-US" w:eastAsia="zh-CN"/>
        </w:rPr>
        <w:t>76.01</w:t>
      </w:r>
      <w:r>
        <w:rPr>
          <w:rFonts w:hint="eastAsia" w:ascii="宋体" w:hAnsi="宋体" w:eastAsia="宋体" w:cs="宋体"/>
          <w:sz w:val="30"/>
          <w:szCs w:val="30"/>
          <w:lang w:eastAsia="zh-CN"/>
        </w:rPr>
        <w:t>万元，项目支出</w:t>
      </w:r>
      <w:r>
        <w:rPr>
          <w:rFonts w:hint="eastAsia" w:ascii="宋体" w:hAnsi="宋体" w:cs="宋体"/>
          <w:sz w:val="30"/>
          <w:szCs w:val="30"/>
          <w:lang w:val="en-US" w:eastAsia="zh-CN"/>
        </w:rPr>
        <w:t>45.61</w:t>
      </w:r>
      <w:r>
        <w:rPr>
          <w:rFonts w:hint="eastAsia" w:ascii="宋体" w:hAnsi="宋体" w:eastAsia="宋体" w:cs="宋体"/>
          <w:sz w:val="30"/>
          <w:szCs w:val="30"/>
          <w:lang w:eastAsia="zh-CN"/>
        </w:rPr>
        <w:t>万元。预算执行率为</w:t>
      </w:r>
      <w:r>
        <w:rPr>
          <w:rFonts w:hint="eastAsia" w:ascii="宋体" w:hAnsi="宋体" w:cs="宋体"/>
          <w:sz w:val="30"/>
          <w:szCs w:val="30"/>
          <w:lang w:val="en-US" w:eastAsia="zh-CN"/>
        </w:rPr>
        <w:t>130.49</w:t>
      </w:r>
      <w:r>
        <w:rPr>
          <w:rFonts w:hint="eastAsia" w:ascii="宋体" w:hAnsi="宋体" w:eastAsia="宋体" w:cs="宋体"/>
          <w:sz w:val="30"/>
          <w:szCs w:val="30"/>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left"/>
        <w:textAlignment w:val="auto"/>
        <w:rPr>
          <w:rFonts w:hint="eastAsia" w:ascii="黑体" w:hAnsi="黑体" w:eastAsia="黑体" w:cs="宋体"/>
          <w:color w:val="000000"/>
          <w:kern w:val="0"/>
          <w:sz w:val="32"/>
          <w:szCs w:val="32"/>
          <w:lang w:eastAsia="zh-CN"/>
        </w:rPr>
      </w:pPr>
      <w:r>
        <w:rPr>
          <w:rFonts w:ascii="黑体" w:hAnsi="黑体" w:eastAsia="黑体" w:cs="宋体"/>
          <w:color w:val="000000"/>
          <w:kern w:val="0"/>
          <w:sz w:val="32"/>
          <w:szCs w:val="32"/>
        </w:rPr>
        <w:t>整体绩效目标实现情况</w:t>
      </w:r>
    </w:p>
    <w:p>
      <w:pPr>
        <w:spacing w:line="360" w:lineRule="auto"/>
        <w:ind w:firstLine="602" w:firstLineChars="200"/>
        <w:jc w:val="both"/>
        <w:rPr>
          <w:rFonts w:hint="eastAsia" w:ascii="宋体" w:hAnsi="宋体" w:eastAsia="宋体" w:cs="宋体"/>
          <w:sz w:val="30"/>
          <w:szCs w:val="30"/>
          <w:lang w:eastAsia="zh-CN"/>
        </w:rPr>
      </w:pPr>
      <w:r>
        <w:rPr>
          <w:rFonts w:hint="eastAsia" w:ascii="宋体" w:hAnsi="宋体" w:eastAsia="宋体" w:cs="宋体"/>
          <w:b/>
          <w:bCs/>
          <w:sz w:val="30"/>
          <w:szCs w:val="30"/>
          <w:lang w:eastAsia="zh-CN"/>
        </w:rPr>
        <w:t>（一）三八红旗手评选。</w:t>
      </w:r>
      <w:r>
        <w:rPr>
          <w:rFonts w:hint="eastAsia" w:ascii="宋体" w:hAnsi="宋体" w:eastAsia="宋体" w:cs="宋体"/>
          <w:sz w:val="30"/>
          <w:szCs w:val="30"/>
          <w:lang w:eastAsia="zh-CN"/>
        </w:rPr>
        <w:t>我会高度重视对三八红旗手、三八红旗集体的评选表彰工作，建立以常态化区级三八红旗手、三八红旗集体定期评选机制,并于今年3月开展区级三八红旗手、三八红旗集体的评选表彰，评选出朱青云等18人大祥区三八红旗手、大祥区红旗街道红旗路社区等5个单位大祥区三八红旗集体。我区刘丽丽被评为“邵阳市三八红旗手”、大祥区妇联被评为“邵阳市三八红旗集体”， 在“大祥妇联”公众号上宣传4次。</w:t>
      </w:r>
    </w:p>
    <w:p>
      <w:pPr>
        <w:spacing w:line="360" w:lineRule="auto"/>
        <w:ind w:firstLine="602" w:firstLineChars="200"/>
        <w:jc w:val="both"/>
        <w:rPr>
          <w:rFonts w:hint="eastAsia" w:ascii="宋体" w:hAnsi="宋体" w:eastAsia="宋体" w:cs="宋体"/>
          <w:sz w:val="30"/>
          <w:szCs w:val="30"/>
          <w:lang w:eastAsia="zh-CN"/>
        </w:rPr>
      </w:pPr>
      <w:r>
        <w:rPr>
          <w:rFonts w:hint="eastAsia" w:ascii="宋体" w:hAnsi="宋体" w:eastAsia="宋体" w:cs="宋体"/>
          <w:b/>
          <w:bCs/>
          <w:sz w:val="30"/>
          <w:szCs w:val="30"/>
          <w:lang w:eastAsia="zh-CN"/>
        </w:rPr>
        <w:t>（二）城乡妇女岗位建功活动。</w:t>
      </w:r>
      <w:r>
        <w:rPr>
          <w:rFonts w:hint="eastAsia" w:ascii="宋体" w:hAnsi="宋体" w:eastAsia="宋体" w:cs="宋体"/>
          <w:sz w:val="30"/>
          <w:szCs w:val="30"/>
          <w:lang w:eastAsia="zh-CN"/>
        </w:rPr>
        <w:t>在全区开展“巾帼文明岗”“巾帼建功标兵”“巾帼建功集体”推介评选，评选大祥区巾帼建功标兵18人，大祥区巾帼建功先进集体8个，李莉被评为“邵阳市巾帼建功标兵”。2020年度省巾帼文明岗大祥区审计局结对帮扶大祥区板桥乡板桥村，帮扶比例达到100%。大祥区妇联联合区人社局开展“湘女素质提升工程”，针对女农民工开展职业技能大培训，今年举办化妆师、美容、保健按摩、家政培训班6期，培训427人，其中107名妇女通过培训掌握职业技能，实现就业增收。依托爱君家政、春满园、湘南农业等妇字号基地，实现农村劳动力新增就业330余人，实现农民增收近200万元。</w:t>
      </w:r>
    </w:p>
    <w:p>
      <w:pPr>
        <w:spacing w:line="360" w:lineRule="auto"/>
        <w:ind w:firstLine="602" w:firstLineChars="200"/>
        <w:jc w:val="both"/>
        <w:rPr>
          <w:rFonts w:hint="eastAsia" w:ascii="宋体" w:hAnsi="宋体" w:eastAsia="宋体" w:cs="宋体"/>
          <w:sz w:val="30"/>
          <w:szCs w:val="30"/>
          <w:lang w:eastAsia="zh-CN"/>
        </w:rPr>
      </w:pPr>
      <w:r>
        <w:rPr>
          <w:rFonts w:hint="eastAsia" w:ascii="宋体" w:hAnsi="宋体" w:eastAsia="宋体" w:cs="宋体"/>
          <w:b/>
          <w:bCs/>
          <w:sz w:val="30"/>
          <w:szCs w:val="30"/>
          <w:lang w:eastAsia="zh-CN"/>
        </w:rPr>
        <w:t>（三）妇女儿童权益保障。</w:t>
      </w:r>
      <w:r>
        <w:rPr>
          <w:rFonts w:hint="eastAsia" w:ascii="宋体" w:hAnsi="宋体" w:eastAsia="宋体" w:cs="宋体"/>
          <w:sz w:val="30"/>
          <w:szCs w:val="30"/>
          <w:lang w:eastAsia="zh-CN"/>
        </w:rPr>
        <w:t>建立健全妇女维权帮扶机制，建立了“婚姻家庭纠纷多元化解”区、乡、村三级平台，全年未发生严重损害妇女儿童权益重大案件和造成不良影响；开展妇女维权法制宣传周活动，围绕《民法典》、女职工劳动保护、反家暴等热点开展针对性普法，组织现场宣传14场次，展出展板154块次，发放资料2万余份。做好12338妇女维权热线和妇女来信来访的接待工作，完善反家暴联动工作机制，为有需求的妇女和家庭提供咨询、调解和援助，接待群众来电来访10起，帮助8名妇女维权，开具家庭暴力告诫书9份，开具人身保护令1份，提质升级“镜圆”婚调项目，组织婚姻课堂17场，服务市民348对，促和54对。深化“我为妇女群众办实事”实践活动，扎实开展“两癌”免费筛查工作，为502名农村适龄妇女和城镇低保适龄妇女开展了“两癌”免费检查服务。开展女童权益保护宣讲进乡村、社区、学校24场次，开展“把爱带回家”双百万结对寒假特别行动14场次，开展春风行动、“四季同行·成长季—雷锋家乡学雷锋”、母亲邮包等服务活动，放发帮扶资金物资合计4.1万元，惠及102名妇女儿童。</w:t>
      </w:r>
    </w:p>
    <w:p>
      <w:pPr>
        <w:spacing w:line="360" w:lineRule="auto"/>
        <w:ind w:firstLine="602" w:firstLineChars="200"/>
        <w:jc w:val="both"/>
        <w:rPr>
          <w:rFonts w:hint="eastAsia" w:ascii="宋体" w:hAnsi="宋体" w:eastAsia="宋体" w:cs="宋体"/>
          <w:sz w:val="30"/>
          <w:szCs w:val="30"/>
          <w:lang w:eastAsia="zh-CN"/>
        </w:rPr>
      </w:pPr>
      <w:r>
        <w:rPr>
          <w:rFonts w:hint="eastAsia" w:ascii="宋体" w:hAnsi="宋体" w:eastAsia="宋体" w:cs="宋体"/>
          <w:b/>
          <w:bCs/>
          <w:sz w:val="30"/>
          <w:szCs w:val="30"/>
          <w:lang w:eastAsia="zh-CN"/>
        </w:rPr>
        <w:t>（四）家庭和儿童工作。</w:t>
      </w:r>
      <w:r>
        <w:rPr>
          <w:rFonts w:hint="eastAsia" w:ascii="宋体" w:hAnsi="宋体" w:eastAsia="宋体" w:cs="宋体"/>
          <w:sz w:val="30"/>
          <w:szCs w:val="30"/>
          <w:lang w:eastAsia="zh-CN"/>
        </w:rPr>
        <w:t>5月15日国际家庭日，区妇联、区文明办共同发起寻找“最美文明家庭”活动，经过认真推选、严格审查，共评选出20个“爱国爱党、移风易俗、科学教子、清正廉洁、孝老爱亲、热心公益”的区级“最美文明家庭”。今年来，大祥区妇联立足打造家庭文明建设品牌，常态化开展寻找“最美文明家庭”“家庭教育580公益宣讲”“绿色家庭创建”等活动，带动广大妇女和家庭成员传承好家风、培育好家教、建设好家庭，推动社会主义核心价值观在家庭落地生根，涌现出湖南省最美文明家庭王玉莲家庭、邵阳市最美文明家庭张碧波家庭等先进典型。积极做好《湖南省家庭教育促进条例》学习宣传及贯彻落实，，通过上下联动、层层宣传，对《条例》的宣传讲解深入到村（社区）妇女群众，打通了《条例》宣传的“最后一公里”，组织志愿者进公园、进社区开展《条例》宣传活动5次，发放宣传单1000余份，接待群众咨询20余次。</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left"/>
        <w:textAlignment w:val="auto"/>
        <w:rPr>
          <w:rFonts w:hint="eastAsia" w:ascii="黑体" w:hAnsi="黑体" w:eastAsia="黑体" w:cs="宋体"/>
          <w:color w:val="000000"/>
          <w:kern w:val="0"/>
          <w:sz w:val="32"/>
          <w:szCs w:val="32"/>
          <w:lang w:eastAsia="zh-CN"/>
        </w:rPr>
      </w:pP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keepNext w:val="0"/>
        <w:keepLines w:val="0"/>
        <w:pageBreakBefore w:val="0"/>
        <w:widowControl w:val="0"/>
        <w:numPr>
          <w:ilvl w:val="0"/>
          <w:numId w:val="4"/>
        </w:numPr>
        <w:kinsoku/>
        <w:wordWrap/>
        <w:overflowPunct/>
        <w:topLinePunct w:val="0"/>
        <w:autoSpaceDE/>
        <w:autoSpaceDN/>
        <w:bidi w:val="0"/>
        <w:adjustRightInd/>
        <w:snapToGrid/>
        <w:ind w:left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财务管理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楷体" w:hAnsi="楷体" w:eastAsia="楷体" w:cs="楷体"/>
          <w:b/>
          <w:bCs/>
          <w:sz w:val="32"/>
          <w:szCs w:val="32"/>
          <w:lang w:val="en-US" w:eastAsia="zh-CN"/>
        </w:rPr>
      </w:pPr>
      <w:r>
        <w:rPr>
          <w:rFonts w:hint="eastAsia" w:ascii="宋体" w:hAnsi="宋体" w:eastAsia="宋体" w:cs="宋体"/>
          <w:sz w:val="30"/>
          <w:szCs w:val="30"/>
          <w:lang w:val="en-US" w:eastAsia="zh-CN"/>
        </w:rPr>
        <w:t>据自身业务开展情况制定了财务管理、预算管理、资金支出管理、资产管理、采购管理、合同管理、项目支出预算管理、预算绩效管理、项目支出事前绩效评估管理、财政支出绩效跟踪管理、财政支出绩效评价管理等方面制度，各项制度相对健全，部门内部财务管理制度及会计核算制度基本完整、合规。</w:t>
      </w:r>
    </w:p>
    <w:p>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eastAsia" w:ascii="楷体" w:hAnsi="楷体" w:eastAsia="楷体" w:cs="楷体"/>
          <w:b/>
          <w:bCs/>
          <w:sz w:val="32"/>
          <w:szCs w:val="32"/>
        </w:rPr>
      </w:pPr>
      <w:r>
        <w:rPr>
          <w:rFonts w:hint="eastAsia" w:ascii="楷体" w:hAnsi="楷体" w:eastAsia="楷体" w:cs="楷体"/>
          <w:b/>
          <w:bCs/>
          <w:color w:val="000000"/>
          <w:kern w:val="0"/>
          <w:sz w:val="32"/>
          <w:szCs w:val="32"/>
          <w:lang w:val="en-US" w:eastAsia="zh-CN"/>
        </w:rPr>
        <w:t>（二）</w:t>
      </w:r>
      <w:r>
        <w:rPr>
          <w:rFonts w:hint="eastAsia" w:ascii="楷体" w:hAnsi="楷体" w:eastAsia="楷体" w:cs="楷体"/>
          <w:b/>
          <w:bCs/>
          <w:sz w:val="32"/>
          <w:szCs w:val="32"/>
        </w:rPr>
        <w:t>资产管理</w:t>
      </w:r>
    </w:p>
    <w:p>
      <w:pPr>
        <w:spacing w:line="36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结合</w:t>
      </w:r>
      <w:r>
        <w:rPr>
          <w:rFonts w:hint="eastAsia" w:ascii="宋体" w:hAnsi="宋体" w:cs="宋体"/>
          <w:sz w:val="30"/>
          <w:szCs w:val="30"/>
          <w:lang w:val="en-US" w:eastAsia="zh-CN"/>
        </w:rPr>
        <w:t>本</w:t>
      </w:r>
      <w:r>
        <w:rPr>
          <w:rFonts w:hint="eastAsia" w:ascii="宋体" w:hAnsi="宋体" w:eastAsia="宋体" w:cs="宋体"/>
          <w:sz w:val="30"/>
          <w:szCs w:val="30"/>
          <w:lang w:val="en-US" w:eastAsia="zh-CN"/>
        </w:rPr>
        <w:t>单位实际情况，规范和加强各部门的资产管理工作，维护国有资产的安全完整、合理配置和有效利用。</w:t>
      </w:r>
    </w:p>
    <w:p>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eastAsia" w:ascii="楷体" w:hAnsi="楷体" w:eastAsia="楷体" w:cs="楷体"/>
          <w:b/>
          <w:bCs/>
          <w:sz w:val="32"/>
          <w:szCs w:val="32"/>
        </w:rPr>
      </w:pPr>
      <w:r>
        <w:rPr>
          <w:rFonts w:hint="eastAsia" w:ascii="楷体" w:hAnsi="楷体" w:eastAsia="楷体" w:cs="楷体"/>
          <w:b/>
          <w:bCs/>
          <w:color w:val="000000"/>
          <w:kern w:val="0"/>
          <w:sz w:val="32"/>
          <w:szCs w:val="32"/>
          <w:lang w:val="en-US" w:eastAsia="zh-CN"/>
        </w:rPr>
        <w:t>（三）</w:t>
      </w:r>
      <w:r>
        <w:rPr>
          <w:rFonts w:hint="eastAsia" w:ascii="楷体" w:hAnsi="楷体" w:eastAsia="楷体" w:cs="楷体"/>
          <w:b/>
          <w:bCs/>
          <w:sz w:val="32"/>
          <w:szCs w:val="32"/>
        </w:rPr>
        <w:t>绩效管理</w:t>
      </w:r>
    </w:p>
    <w:p>
      <w:pPr>
        <w:spacing w:line="360" w:lineRule="auto"/>
        <w:ind w:firstLine="600" w:firstLineChars="200"/>
        <w:jc w:val="both"/>
        <w:rPr>
          <w:rFonts w:hint="eastAsia" w:ascii="楷体" w:hAnsi="楷体" w:eastAsia="楷体" w:cs="楷体"/>
          <w:b/>
          <w:bCs/>
          <w:sz w:val="32"/>
          <w:szCs w:val="32"/>
          <w:lang w:val="en-US" w:eastAsia="zh-CN"/>
        </w:rPr>
      </w:pPr>
      <w:r>
        <w:rPr>
          <w:rFonts w:hint="eastAsia" w:ascii="宋体" w:hAnsi="宋体" w:eastAsia="宋体" w:cs="宋体"/>
          <w:sz w:val="30"/>
          <w:szCs w:val="30"/>
          <w:lang w:val="en-US" w:eastAsia="zh-CN"/>
        </w:rPr>
        <w:t>对项目的绩效目标实现程度、项目预算资金拨款到位情况及预算执行情况，进行绩效监控，提高预算执行效力和项目资金使用效率。对偏离绩效目标项目和预期无效项目及时采取措施予以纠正。继续开展成本预算绩效分析，充分利用成本绩效分析形成的成果，强化支出标准对预算核定的约束作用。真正实现预算编制有目标、执行过程有监控、预算完成有评价，不断强化绩效理念并逐步融入预算编制、执行、公开全过程，将降成本、提效益的理念贯穿于各项工作当中。</w:t>
      </w:r>
    </w:p>
    <w:p>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eastAsia" w:ascii="楷体" w:hAnsi="楷体" w:eastAsia="楷体" w:cs="楷体"/>
          <w:b/>
          <w:bCs/>
          <w:sz w:val="32"/>
          <w:szCs w:val="32"/>
        </w:rPr>
      </w:pPr>
      <w:r>
        <w:rPr>
          <w:rFonts w:hint="eastAsia" w:ascii="楷体" w:hAnsi="楷体" w:eastAsia="楷体" w:cs="楷体"/>
          <w:b/>
          <w:bCs/>
          <w:color w:val="000000"/>
          <w:kern w:val="0"/>
          <w:sz w:val="32"/>
          <w:szCs w:val="32"/>
          <w:lang w:val="en-US" w:eastAsia="zh-CN"/>
        </w:rPr>
        <w:t>（四）</w:t>
      </w:r>
      <w:r>
        <w:rPr>
          <w:rFonts w:hint="eastAsia" w:ascii="楷体" w:hAnsi="楷体" w:eastAsia="楷体" w:cs="楷体"/>
          <w:b/>
          <w:bCs/>
          <w:sz w:val="32"/>
          <w:szCs w:val="32"/>
        </w:rPr>
        <w:t>结转结余率</w:t>
      </w:r>
    </w:p>
    <w:p>
      <w:pPr>
        <w:spacing w:line="36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2021年全年预算数为</w:t>
      </w:r>
      <w:r>
        <w:rPr>
          <w:rFonts w:hint="eastAsia" w:ascii="宋体" w:hAnsi="宋体" w:cs="宋体"/>
          <w:sz w:val="30"/>
          <w:szCs w:val="30"/>
          <w:lang w:val="en-US" w:eastAsia="zh-CN"/>
        </w:rPr>
        <w:t>93.2</w:t>
      </w:r>
      <w:r>
        <w:rPr>
          <w:rFonts w:hint="eastAsia" w:ascii="宋体" w:hAnsi="宋体" w:eastAsia="宋体" w:cs="宋体"/>
          <w:sz w:val="30"/>
          <w:szCs w:val="30"/>
          <w:lang w:val="en-US" w:eastAsia="zh-CN"/>
        </w:rPr>
        <w:t>万元，年末结余结转金额为</w:t>
      </w:r>
      <w:r>
        <w:rPr>
          <w:rFonts w:hint="eastAsia" w:ascii="宋体" w:hAnsi="宋体" w:cs="宋体"/>
          <w:sz w:val="30"/>
          <w:szCs w:val="30"/>
          <w:lang w:val="en-US" w:eastAsia="zh-CN"/>
        </w:rPr>
        <w:t>9.76</w:t>
      </w:r>
      <w:r>
        <w:rPr>
          <w:rFonts w:hint="eastAsia" w:ascii="宋体" w:hAnsi="宋体" w:eastAsia="宋体" w:cs="宋体"/>
          <w:sz w:val="30"/>
          <w:szCs w:val="30"/>
          <w:lang w:val="en-US" w:eastAsia="zh-CN"/>
        </w:rPr>
        <w:t>万元，结余结转率</w:t>
      </w:r>
      <w:r>
        <w:rPr>
          <w:rFonts w:hint="eastAsia" w:ascii="宋体" w:hAnsi="宋体" w:cs="宋体"/>
          <w:sz w:val="30"/>
          <w:szCs w:val="30"/>
          <w:lang w:val="en-US" w:eastAsia="zh-CN"/>
        </w:rPr>
        <w:t>10.47</w:t>
      </w:r>
      <w:r>
        <w:rPr>
          <w:rFonts w:hint="eastAsia" w:ascii="宋体" w:hAnsi="宋体" w:eastAsia="宋体" w:cs="宋体"/>
          <w:sz w:val="30"/>
          <w:szCs w:val="30"/>
          <w:lang w:val="en-US" w:eastAsia="zh-CN"/>
        </w:rPr>
        <w:t>%。本年结转结余率较上年</w:t>
      </w:r>
      <w:r>
        <w:rPr>
          <w:rFonts w:hint="eastAsia" w:ascii="宋体" w:hAnsi="宋体" w:cs="宋体"/>
          <w:sz w:val="30"/>
          <w:szCs w:val="30"/>
          <w:lang w:val="en-US" w:eastAsia="zh-CN"/>
        </w:rPr>
        <w:t>减少74.44</w:t>
      </w:r>
      <w:r>
        <w:rPr>
          <w:rFonts w:hint="eastAsia" w:ascii="宋体" w:hAnsi="宋体" w:eastAsia="宋体" w:cs="宋体"/>
          <w:sz w:val="30"/>
          <w:szCs w:val="30"/>
          <w:lang w:val="en-US" w:eastAsia="zh-CN"/>
        </w:rPr>
        <w:t>%</w:t>
      </w:r>
      <w:bookmarkStart w:id="0" w:name="_GoBack"/>
      <w:bookmarkEnd w:id="0"/>
      <w:r>
        <w:rPr>
          <w:rFonts w:hint="eastAsia" w:ascii="宋体" w:hAnsi="宋体" w:eastAsia="宋体" w:cs="宋体"/>
          <w:sz w:val="30"/>
          <w:szCs w:val="30"/>
          <w:lang w:val="en-US" w:eastAsia="zh-CN"/>
        </w:rPr>
        <w:t>，</w:t>
      </w:r>
      <w:r>
        <w:rPr>
          <w:rFonts w:hint="eastAsia" w:ascii="宋体" w:hAnsi="宋体" w:cs="宋体"/>
          <w:sz w:val="30"/>
          <w:szCs w:val="30"/>
          <w:lang w:val="en-US" w:eastAsia="zh-CN"/>
        </w:rPr>
        <w:t>本单位</w:t>
      </w:r>
      <w:r>
        <w:rPr>
          <w:rFonts w:hint="eastAsia" w:ascii="宋体" w:hAnsi="宋体" w:eastAsia="宋体" w:cs="宋体"/>
          <w:sz w:val="30"/>
          <w:szCs w:val="30"/>
          <w:lang w:val="en-US" w:eastAsia="zh-CN"/>
        </w:rPr>
        <w:t>将进一步强化资金统筹能力，降低资金结转结余比率。</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总体</w:t>
      </w:r>
      <w:r>
        <w:rPr>
          <w:rFonts w:ascii="黑体" w:hAnsi="黑体" w:eastAsia="黑体" w:cs="宋体"/>
          <w:color w:val="000000"/>
          <w:kern w:val="0"/>
          <w:sz w:val="32"/>
          <w:szCs w:val="32"/>
        </w:rPr>
        <w:t>评价结论</w:t>
      </w:r>
    </w:p>
    <w:p>
      <w:pPr>
        <w:keepNext w:val="0"/>
        <w:keepLines w:val="0"/>
        <w:pageBreakBefore w:val="0"/>
        <w:widowControl w:val="0"/>
        <w:numPr>
          <w:ilvl w:val="0"/>
          <w:numId w:val="5"/>
        </w:numPr>
        <w:kinsoku/>
        <w:wordWrap/>
        <w:overflowPunct/>
        <w:topLinePunct w:val="0"/>
        <w:autoSpaceDE/>
        <w:autoSpaceDN/>
        <w:bidi w:val="0"/>
        <w:adjustRightInd/>
        <w:snapToGrid/>
        <w:ind w:leftChars="200"/>
        <w:jc w:val="left"/>
        <w:textAlignment w:val="auto"/>
        <w:rPr>
          <w:rFonts w:hint="eastAsia" w:ascii="楷体" w:hAnsi="楷体" w:eastAsia="楷体" w:cs="楷体"/>
          <w:b/>
          <w:bCs/>
          <w:color w:val="000000"/>
          <w:kern w:val="0"/>
          <w:sz w:val="32"/>
          <w:szCs w:val="32"/>
          <w:lang w:val="en-US" w:eastAsia="zh-CN"/>
        </w:rPr>
      </w:pPr>
      <w:r>
        <w:rPr>
          <w:rFonts w:hint="eastAsia" w:ascii="楷体" w:hAnsi="楷体" w:eastAsia="楷体" w:cs="楷体"/>
          <w:b/>
          <w:bCs/>
          <w:color w:val="000000"/>
          <w:kern w:val="0"/>
          <w:sz w:val="32"/>
          <w:szCs w:val="32"/>
          <w:lang w:val="en-US" w:eastAsia="zh-CN"/>
        </w:rPr>
        <w:t>评价得分情况</w:t>
      </w:r>
    </w:p>
    <w:p>
      <w:pPr>
        <w:spacing w:line="360" w:lineRule="auto"/>
        <w:ind w:firstLine="600" w:firstLineChars="200"/>
        <w:jc w:val="both"/>
        <w:rPr>
          <w:rFonts w:hint="eastAsia" w:ascii="楷体" w:hAnsi="楷体" w:eastAsia="楷体" w:cs="楷体"/>
          <w:b/>
          <w:bCs/>
          <w:color w:val="auto"/>
          <w:kern w:val="0"/>
          <w:sz w:val="32"/>
          <w:szCs w:val="32"/>
          <w:lang w:val="en-US" w:eastAsia="zh-CN"/>
        </w:rPr>
      </w:pPr>
      <w:r>
        <w:rPr>
          <w:rFonts w:hint="eastAsia" w:ascii="宋体" w:hAnsi="宋体" w:eastAsia="宋体" w:cs="宋体"/>
          <w:color w:val="auto"/>
          <w:sz w:val="30"/>
          <w:szCs w:val="30"/>
          <w:lang w:val="en-US" w:eastAsia="zh-CN"/>
        </w:rPr>
        <w:t xml:space="preserve">本次部门整体绩效评价通过多种方式开展了全面、系统、客观的分析评价，综合评价等级为“优秀”。 </w:t>
      </w:r>
    </w:p>
    <w:p>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eastAsia" w:ascii="楷体" w:hAnsi="楷体" w:eastAsia="楷体" w:cs="楷体"/>
          <w:b/>
          <w:bCs/>
          <w:color w:val="000000"/>
          <w:kern w:val="0"/>
          <w:sz w:val="32"/>
          <w:szCs w:val="32"/>
          <w:lang w:val="en-US" w:eastAsia="zh-CN"/>
        </w:rPr>
      </w:pPr>
      <w:r>
        <w:rPr>
          <w:rFonts w:hint="eastAsia" w:ascii="楷体" w:hAnsi="楷体" w:eastAsia="楷体" w:cs="楷体"/>
          <w:b/>
          <w:bCs/>
          <w:color w:val="000000"/>
          <w:kern w:val="0"/>
          <w:sz w:val="32"/>
          <w:szCs w:val="32"/>
          <w:lang w:val="en-US" w:eastAsia="zh-CN"/>
        </w:rPr>
        <w:t>（二）存在的问题及原因分析</w:t>
      </w:r>
    </w:p>
    <w:p>
      <w:pPr>
        <w:spacing w:line="36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w:t>
      </w:r>
      <w:r>
        <w:rPr>
          <w:rFonts w:hint="eastAsia" w:ascii="宋体" w:hAnsi="宋体" w:cs="宋体"/>
          <w:sz w:val="30"/>
          <w:szCs w:val="30"/>
          <w:lang w:val="en-US" w:eastAsia="zh-CN"/>
        </w:rPr>
        <w:t>、</w:t>
      </w:r>
      <w:r>
        <w:rPr>
          <w:rFonts w:hint="eastAsia" w:ascii="宋体" w:hAnsi="宋体" w:eastAsia="宋体" w:cs="宋体"/>
          <w:sz w:val="30"/>
          <w:szCs w:val="30"/>
          <w:lang w:val="en-US" w:eastAsia="zh-CN"/>
        </w:rPr>
        <w:t xml:space="preserve">项目绩效目标设定有待加强。绩效目标填报基本符合要求，但存在个别项目设定绩效指标不够准确，与实际完成值有所差距，个别项目绩效指标设定的细化、量化程度不够，无法进行准确衡量。 </w:t>
      </w:r>
    </w:p>
    <w:p>
      <w:pPr>
        <w:spacing w:line="36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w:t>
      </w:r>
      <w:r>
        <w:rPr>
          <w:rFonts w:hint="eastAsia" w:ascii="宋体" w:hAnsi="宋体" w:cs="宋体"/>
          <w:sz w:val="30"/>
          <w:szCs w:val="30"/>
          <w:lang w:val="en-US" w:eastAsia="zh-CN"/>
        </w:rPr>
        <w:t>、</w:t>
      </w:r>
      <w:r>
        <w:rPr>
          <w:rFonts w:hint="eastAsia" w:ascii="宋体" w:hAnsi="宋体" w:eastAsia="宋体" w:cs="宋体"/>
          <w:sz w:val="30"/>
          <w:szCs w:val="30"/>
          <w:lang w:val="en-US" w:eastAsia="zh-CN"/>
        </w:rPr>
        <w:t xml:space="preserve">项目管理方面有待进一步加强。通过本次开展部门绩效评价发现，个别项目中存在项目实施方案编制不够完善、过程管理档案管理留存不够、绩效展示不够充分等情况。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措施建议</w:t>
      </w:r>
    </w:p>
    <w:p>
      <w:pPr>
        <w:spacing w:line="360" w:lineRule="auto"/>
        <w:ind w:firstLine="600" w:firstLineChars="200"/>
        <w:jc w:val="both"/>
        <w:rPr>
          <w:rFonts w:hint="eastAsia" w:ascii="宋体" w:hAnsi="宋体" w:eastAsia="宋体" w:cs="宋体"/>
          <w:sz w:val="30"/>
          <w:szCs w:val="30"/>
          <w:lang w:eastAsia="zh-CN"/>
        </w:rPr>
      </w:pPr>
      <w:r>
        <w:rPr>
          <w:rFonts w:hint="eastAsia" w:ascii="宋体" w:hAnsi="宋体" w:eastAsia="宋体" w:cs="宋体"/>
          <w:sz w:val="30"/>
          <w:szCs w:val="30"/>
          <w:lang w:val="en-US" w:eastAsia="zh-CN"/>
        </w:rPr>
        <w:t>进一步</w:t>
      </w:r>
      <w:r>
        <w:rPr>
          <w:rFonts w:hint="eastAsia" w:ascii="宋体" w:hAnsi="宋体" w:eastAsia="宋体" w:cs="宋体"/>
          <w:sz w:val="30"/>
          <w:szCs w:val="30"/>
          <w:lang w:eastAsia="zh-CN"/>
        </w:rPr>
        <w:t>科学、合理、规范地确定部门绩效目标，以部门的职能定位和年度工作任务作为切入点，全面反映部门绩效，并将各相关职能或工作内容反映在分项指标中，细化、量化绩效</w:t>
      </w:r>
      <w:r>
        <w:rPr>
          <w:rFonts w:hint="eastAsia" w:ascii="宋体" w:hAnsi="宋体" w:eastAsia="宋体" w:cs="宋体"/>
          <w:sz w:val="30"/>
          <w:szCs w:val="30"/>
          <w:lang w:val="en-US" w:eastAsia="zh-CN"/>
        </w:rPr>
        <w:t>指标</w:t>
      </w:r>
      <w:r>
        <w:rPr>
          <w:rFonts w:hint="eastAsia" w:ascii="宋体" w:hAnsi="宋体" w:eastAsia="宋体" w:cs="宋体"/>
          <w:sz w:val="30"/>
          <w:szCs w:val="30"/>
          <w:lang w:eastAsia="zh-CN"/>
        </w:rPr>
        <w:t>，增加可考量性，提升各项指标的可考量性和完整。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6E9734"/>
    <w:multiLevelType w:val="singleLevel"/>
    <w:tmpl w:val="C56E9734"/>
    <w:lvl w:ilvl="0" w:tentative="0">
      <w:start w:val="1"/>
      <w:numFmt w:val="chineseCounting"/>
      <w:suff w:val="nothing"/>
      <w:lvlText w:val="（%1）"/>
      <w:lvlJc w:val="left"/>
      <w:rPr>
        <w:rFonts w:hint="eastAsia"/>
      </w:rPr>
    </w:lvl>
  </w:abstractNum>
  <w:abstractNum w:abstractNumId="1">
    <w:nsid w:val="D1ABF8D2"/>
    <w:multiLevelType w:val="singleLevel"/>
    <w:tmpl w:val="D1ABF8D2"/>
    <w:lvl w:ilvl="0" w:tentative="0">
      <w:start w:val="1"/>
      <w:numFmt w:val="chineseCounting"/>
      <w:suff w:val="nothing"/>
      <w:lvlText w:val="（%1）"/>
      <w:lvlJc w:val="left"/>
      <w:rPr>
        <w:rFonts w:hint="eastAsia"/>
      </w:rPr>
    </w:lvl>
  </w:abstractNum>
  <w:abstractNum w:abstractNumId="2">
    <w:nsid w:val="D90FE6D0"/>
    <w:multiLevelType w:val="singleLevel"/>
    <w:tmpl w:val="D90FE6D0"/>
    <w:lvl w:ilvl="0" w:tentative="0">
      <w:start w:val="1"/>
      <w:numFmt w:val="chineseCounting"/>
      <w:suff w:val="nothing"/>
      <w:lvlText w:val="%1、"/>
      <w:lvlJc w:val="left"/>
      <w:rPr>
        <w:rFonts w:hint="eastAsia"/>
      </w:rPr>
    </w:lvl>
  </w:abstractNum>
  <w:abstractNum w:abstractNumId="3">
    <w:nsid w:val="1C717120"/>
    <w:multiLevelType w:val="singleLevel"/>
    <w:tmpl w:val="1C717120"/>
    <w:lvl w:ilvl="0" w:tentative="0">
      <w:start w:val="1"/>
      <w:numFmt w:val="decimal"/>
      <w:suff w:val="nothing"/>
      <w:lvlText w:val="%1、"/>
      <w:lvlJc w:val="left"/>
    </w:lvl>
  </w:abstractNum>
  <w:abstractNum w:abstractNumId="4">
    <w:nsid w:val="71443E52"/>
    <w:multiLevelType w:val="singleLevel"/>
    <w:tmpl w:val="71443E52"/>
    <w:lvl w:ilvl="0" w:tentative="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hNjIyMzUzYzc3MTJmYTI0YTJmMmQ3YjQ2YWUxYzEifQ=="/>
  </w:docVars>
  <w:rsids>
    <w:rsidRoot w:val="715F2A2F"/>
    <w:rsid w:val="0C0369A6"/>
    <w:rsid w:val="33863895"/>
    <w:rsid w:val="5AA93841"/>
    <w:rsid w:val="5F0A2744"/>
    <w:rsid w:val="62F67840"/>
    <w:rsid w:val="6553067F"/>
    <w:rsid w:val="715F2A2F"/>
    <w:rsid w:val="71F31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uiPriority w:val="0"/>
    <w:pPr>
      <w:widowControl w:val="0"/>
      <w:tabs>
        <w:tab w:val="center" w:pos="4153"/>
        <w:tab w:val="right" w:pos="8306"/>
      </w:tabs>
      <w:snapToGrid w:val="0"/>
      <w:jc w:val="left"/>
    </w:pPr>
    <w:rPr>
      <w:rFonts w:ascii="Times New Roman" w:hAnsi="Times New Roman" w:eastAsia="宋体" w:cs="Times New Roman"/>
      <w:kern w:val="2"/>
      <w:sz w:val="18"/>
      <w:szCs w:val="20"/>
      <w:lang w:val="en-US" w:eastAsia="zh-CN" w:bidi="ar-SA"/>
    </w:rPr>
  </w:style>
  <w:style w:type="paragraph" w:styleId="4">
    <w:name w:val="Body Text First Indent 2"/>
    <w:basedOn w:val="2"/>
    <w:qFormat/>
    <w:uiPriority w:val="0"/>
    <w:pPr>
      <w:spacing w:after="0"/>
      <w:ind w:firstLine="420" w:firstLineChars="200"/>
    </w:pPr>
    <w:rPr>
      <w:rFonts w:ascii="Calibri" w:hAnsi="Calibri" w:eastAsia="宋体" w:cs="Times New Roman"/>
      <w:szCs w:val="24"/>
    </w:rPr>
  </w:style>
  <w:style w:type="paragraph" w:customStyle="1" w:styleId="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1223</Words>
  <Characters>1267</Characters>
  <Lines>0</Lines>
  <Paragraphs>0</Paragraphs>
  <TotalTime>1</TotalTime>
  <ScaleCrop>false</ScaleCrop>
  <LinksUpToDate>false</LinksUpToDate>
  <CharactersWithSpaces>1270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2022-10-03T07:50:00Z</dcterms:created>
  <dc:creator>舍  得</dc:creator>
  <cp:lastModifiedBy>舍  得</cp:lastModifiedBy>
  <dcterms:modified xsi:type="dcterms:W3CDTF">2022-10-03T12:28:41Z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9F0C5F7CC03F4557A37A10BB19C9F6A3</vt:lpwstr>
  </property>
</Properties>
</file>