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spacing w:before="0" w:beforeAutospacing="0" w:after="2" w:afterAutospacing="0"/>
        <w:jc w:val="center"/>
        <w:rPr>
          <w:rFonts w:hint="eastAsia" w:ascii="黑体" w:hAnsi="黑体" w:eastAsia="黑体" w:cs="黑体"/>
          <w:kern w:val="2"/>
          <w:sz w:val="44"/>
          <w:szCs w:val="44"/>
        </w:rPr>
      </w:pPr>
      <w:r>
        <w:rPr>
          <w:rFonts w:hint="eastAsia" w:ascii="黑体" w:hAnsi="黑体" w:eastAsia="黑体" w:cs="黑体"/>
          <w:color w:val="000000"/>
          <w:kern w:val="2"/>
          <w:sz w:val="44"/>
          <w:szCs w:val="44"/>
        </w:rPr>
        <w:t>2022年度大祥区委办公室整体支出绩效评价报告</w:t>
      </w:r>
    </w:p>
    <w:p>
      <w:pPr>
        <w:pStyle w:val="21"/>
        <w:spacing w:before="0" w:beforeAutospacing="0" w:after="2" w:afterAutospacing="0"/>
        <w:ind w:left="0" w:firstLine="641"/>
        <w:rPr>
          <w:rStyle w:val="18"/>
          <w:rFonts w:hint="eastAsia" w:ascii="宋体" w:hAnsi="宋体" w:eastAsia="宋体" w:cs="宋体"/>
          <w:b/>
          <w:bCs/>
          <w:color w:val="000000"/>
          <w:sz w:val="32"/>
          <w:szCs w:val="32"/>
        </w:rPr>
      </w:pPr>
    </w:p>
    <w:p>
      <w:pPr>
        <w:pStyle w:val="13"/>
        <w:keepNext w:val="0"/>
        <w:keepLines w:val="0"/>
        <w:widowControl w:val="0"/>
        <w:suppressLineNumbers w:val="0"/>
        <w:spacing w:before="0" w:beforeLines="0" w:beforeAutospacing="0" w:after="0" w:afterLines="0" w:afterAutospacing="0"/>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1.落实上级党委及区委重大决策部署方面。按规定时限和工作质量要求，认真落实上级党委重大决策部署以及区委常委会工作要点、区委经济工作会议明确的要点事项和区委领导交办的重要工作任务。全面学习宣传贯彻党的二十大精神，深入学习贯彻习近平总书记对湖南系列重要讲话和重要指示批示精神，坚持服务于党、服务于民，发扬优良工作作风，提高综合服务水平，有力保障各项工作稳步推进，较好地完成了全年工作任务。</w:t>
      </w:r>
    </w:p>
    <w:p>
      <w:pPr>
        <w:pStyle w:val="13"/>
        <w:keepNext w:val="0"/>
        <w:keepLines w:val="0"/>
        <w:widowControl w:val="0"/>
        <w:suppressLineNumbers w:val="0"/>
        <w:spacing w:before="0" w:beforeLines="0" w:beforeAutospacing="0" w:after="0" w:afterLines="0" w:afterAutospacing="0"/>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落实单位职能职责方面。2022年，全面加强全区党办系统统筹联动工作，推动办公室工作高质量发展，统筹全区性重要会议18次、区级层面督查检查考核11次，评定为全市良好单位。①参谋服务方面：围绕国家数字乡村改革试点、党建引领“完美小区”创建、涉众型经济案件处置等工作，认真总结经验做法，被新华网、华声在线、红网和《市委工作情况交流》等省市主流媒体刊物宣传推广。全年上报市委和市委办各种请示、报告等69件。区委办共上报省市信息130篇，编发《大祥要情》10期，上报的多条信息被省市领导批示，党委信息工作成效明显。②督查工作：2022年，发联合督查通报60余期，专报3期，配合区纪委监委督查会风会纪20余次。办理回复人民网《领导留言板》版块（大祥区委书记）网友留言4条，有力促进了工作的落实和问题的解决。③办文办会：以区委、区“两办”名义制发文件57件，同比下降18.6%；组织全区性会议18次，同比减少13.6%；向市委办报备党内规范性文件11个。④值班工作：全年共收处上级文件470份，接待群众来访66起138人、办理66起，确保了上传下达渠道畅通、协调衔接准确无误。⑤档案工作：稳步推进档案党史工作。全面完成区委大事记、党委工作纪事、《大祥年鉴2020》编纂及上级史志部门约稿任务。启动档案信息化建设“三年行动”，对馆藏档案进行数字化扫描加工，指导蔡锷乡、台上村、罗塘村建成市级规范化管理标准档案室。</w:t>
      </w:r>
    </w:p>
    <w:p>
      <w:pPr>
        <w:pStyle w:val="13"/>
        <w:keepNext w:val="0"/>
        <w:keepLines w:val="0"/>
        <w:widowControl w:val="0"/>
        <w:suppressLineNumbers w:val="0"/>
        <w:spacing w:before="0" w:beforeLines="0" w:beforeAutospacing="0" w:after="0" w:afterLines="0" w:afterAutospacing="0"/>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3.深化改革工作方面，积极开展差别化改革探索，形成一批具有大祥特色、能复制推广改革典型和品牌，全年在市级以上主流媒体刊物宣传上稿50余篇。其中，大祥区教育“双减”改革在全省作宣教经验介绍；国家数字乡村改革典型经验做法被省政府通报表扬；“完美小区”改革经验被《邵阳工作》推介。</w:t>
      </w:r>
    </w:p>
    <w:p>
      <w:pPr>
        <w:pStyle w:val="13"/>
        <w:keepNext w:val="0"/>
        <w:keepLines w:val="0"/>
        <w:widowControl w:val="0"/>
        <w:suppressLineNumbers w:val="0"/>
        <w:spacing w:before="0" w:beforeLines="0" w:beforeAutospacing="0" w:after="0" w:afterLines="0" w:afterAutospacing="0"/>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4.抓好外事港澳台、国安、保密、电子政务内网等其他归口工作。</w:t>
      </w:r>
    </w:p>
    <w:p>
      <w:pPr>
        <w:keepNext w:val="0"/>
        <w:keepLines w:val="0"/>
        <w:widowControl w:val="0"/>
        <w:suppressLineNumbers w:val="0"/>
        <w:ind w:left="0"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5.部门决算中项目绩效自评结果:</w:t>
      </w:r>
    </w:p>
    <w:p>
      <w:pPr>
        <w:pStyle w:val="13"/>
        <w:keepNext w:val="0"/>
        <w:keepLines w:val="0"/>
        <w:widowControl w:val="0"/>
        <w:suppressLineNumbers w:val="0"/>
        <w:spacing w:before="0" w:beforeLines="0" w:beforeAutospacing="0" w:after="0" w:afterLines="0" w:afterAutospacing="0"/>
        <w:ind w:left="0" w:right="0" w:firstLine="640" w:firstLineChars="2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2022年纳入绩效目标管理项目19个，包括考察调研活动经费、政研工作经费、党史经费、外宣经费、档案工作经费、国安、深改工作经费、调研、信息、刊物等经费等。主要产出和效果：以上项目按照年初目标任务和资金预算情况稳步推进，为全区推进“五城三园三中心”建设营造了良好环境，取得了较好的经济和社会效益。根据年初设定的绩效目标，区委办严格按照中央、省、市、区各级财经政策规定，管好、用好每笔资金，项目绩效自评得分为优秀。</w:t>
      </w:r>
    </w:p>
    <w:p>
      <w:pPr>
        <w:pStyle w:val="13"/>
        <w:keepNext w:val="0"/>
        <w:keepLines w:val="0"/>
        <w:widowControl w:val="0"/>
        <w:suppressLineNumbers w:val="0"/>
        <w:spacing w:before="0" w:beforeLines="0" w:beforeAutospacing="0" w:after="0" w:afterLines="0" w:afterAutospacing="0"/>
        <w:ind w:left="0" w:right="0" w:firstLine="640" w:firstLineChars="200"/>
        <w:jc w:val="both"/>
        <w:rPr>
          <w:rFonts w:hint="default" w:ascii="等线" w:hAnsi="等线" w:eastAsia="等线" w:cs="Times New Roman"/>
          <w:color w:val="000000"/>
          <w:kern w:val="2"/>
          <w:sz w:val="27"/>
          <w:szCs w:val="27"/>
        </w:rPr>
      </w:pPr>
      <w:r>
        <w:rPr>
          <w:rFonts w:hint="eastAsia" w:ascii="宋体" w:hAnsi="宋体" w:eastAsia="宋体" w:cs="宋体"/>
          <w:color w:val="000000"/>
          <w:kern w:val="2"/>
          <w:sz w:val="32"/>
          <w:szCs w:val="32"/>
        </w:rPr>
        <w:t>2022年度全面深化改革被评定为全市优秀；全区办公室系统统筹联动工作被评定为全市良好单位。区委办2022年度绩效考核评估等次为优秀。2022年度全区平安建设（综治工作）先进区直单位，2022年度全面深化改革工作先进区直单位。</w:t>
      </w: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2JiMDkyNjg0YzZkODI4YmY0MDI3NjIwYWRhYTAifQ=="/>
  </w:docVars>
  <w:rsids>
    <w:rsidRoot w:val="00000000"/>
    <w:rsid w:val="05F95B99"/>
    <w:rsid w:val="0B276D04"/>
    <w:rsid w:val="2C5B7754"/>
    <w:rsid w:val="302E4A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2">
    <w:name w:val="15"/>
    <w:basedOn w:val="11"/>
    <w:uiPriority w:val="0"/>
    <w:rPr>
      <w:rFonts w:hint="default" w:ascii="Wingdings" w:hAnsi="Wingdings" w:cs="Wingdings"/>
    </w:rPr>
  </w:style>
  <w:style w:type="paragraph" w:customStyle="1" w:styleId="13">
    <w:name w:val="Default"/>
    <w:basedOn w:val="1"/>
    <w:uiPriority w:val="0"/>
    <w:pPr>
      <w:keepNext w:val="0"/>
      <w:keepLines w:val="0"/>
      <w:widowControl w:val="0"/>
      <w:suppressLineNumbers w:val="0"/>
      <w:autoSpaceDE w:val="0"/>
      <w:autoSpaceDN w:val="0"/>
      <w:adjustRightInd w:val="0"/>
      <w:spacing w:before="0" w:beforeLines="0" w:beforeAutospacing="0" w:after="0" w:afterLines="0" w:afterAutospacing="0"/>
      <w:ind w:left="0" w:right="0"/>
      <w:jc w:val="left"/>
    </w:pPr>
    <w:rPr>
      <w:rFonts w:hint="eastAsia" w:ascii="黑体" w:hAnsi="Calibri" w:eastAsia="黑体" w:cs="Times New Roman"/>
      <w:color w:val="000000"/>
      <w:kern w:val="0"/>
      <w:sz w:val="24"/>
      <w:szCs w:val="24"/>
      <w:lang w:val="en-US" w:eastAsia="zh-CN" w:bidi="ar"/>
    </w:rPr>
  </w:style>
  <w:style w:type="character" w:customStyle="1" w:styleId="14">
    <w:name w:val="19"/>
    <w:basedOn w:val="11"/>
    <w:uiPriority w:val="0"/>
    <w:rPr>
      <w:rFonts w:hint="default" w:ascii="Wingdings" w:hAnsi="Wingdings" w:cs="Wingdings"/>
    </w:rPr>
  </w:style>
  <w:style w:type="paragraph" w:customStyle="1" w:styleId="15">
    <w:name w:val="普通(网站)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6">
    <w:name w:val="17"/>
    <w:basedOn w:val="11"/>
    <w:uiPriority w:val="0"/>
    <w:rPr>
      <w:rFonts w:hint="default" w:ascii="Wingdings" w:hAnsi="Wingdings" w:cs="Wingdings"/>
    </w:rPr>
  </w:style>
  <w:style w:type="character" w:customStyle="1" w:styleId="17">
    <w:name w:val="10"/>
    <w:basedOn w:val="11"/>
    <w:uiPriority w:val="0"/>
    <w:rPr>
      <w:rFonts w:hint="default" w:ascii="Times New Roman" w:hAnsi="Times New Roman" w:cs="Times New Roman"/>
    </w:rPr>
  </w:style>
  <w:style w:type="character" w:customStyle="1" w:styleId="18">
    <w:name w:val="16"/>
    <w:basedOn w:val="11"/>
    <w:uiPriority w:val="0"/>
    <w:rPr>
      <w:rFonts w:hint="default" w:ascii="Wingdings" w:hAnsi="Wingdings" w:cs="Wingdings"/>
      <w:b/>
      <w:bCs/>
    </w:rPr>
  </w:style>
  <w:style w:type="character" w:customStyle="1" w:styleId="19">
    <w:name w:val="18"/>
    <w:basedOn w:val="11"/>
    <w:uiPriority w:val="0"/>
    <w:rPr>
      <w:rFonts w:hint="default" w:ascii="Times New Roman" w:hAnsi="Times New Roman" w:cs="Times New Roman"/>
    </w:rPr>
  </w:style>
  <w:style w:type="paragraph" w:customStyle="1" w:styleId="20">
    <w:name w:val="HTML 预设格式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181"/>
    <w:basedOn w:val="1"/>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13</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2023-09-06T03:41:56Z</dcterms:created>
  <dc:creator>kylin</dc:creator>
  <cp:lastModifiedBy>城西街道</cp:lastModifiedBy>
  <dcterms:modified xsi:type="dcterms:W3CDTF">2023-09-06T03:56:30Z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728009C17E184E69A10BD2DCC702090E_12</vt:lpwstr>
  </property>
</Properties>
</file>