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24710">
      <w:pPr>
        <w:jc w:val="center"/>
        <w:rPr>
          <w:rFonts w:hint="eastAsia"/>
          <w:sz w:val="48"/>
          <w:szCs w:val="48"/>
        </w:rPr>
      </w:pPr>
      <w:r>
        <w:rPr>
          <w:rFonts w:hint="eastAsia" w:asciiTheme="majorEastAsia" w:hAnsiTheme="majorEastAsia" w:eastAsiaTheme="majorEastAsia" w:cstheme="majorEastAsia"/>
          <w:b/>
          <w:bCs/>
          <w:sz w:val="48"/>
          <w:szCs w:val="48"/>
        </w:rPr>
        <w:t>202</w:t>
      </w:r>
      <w:r>
        <w:rPr>
          <w:rFonts w:hint="eastAsia" w:asciiTheme="majorEastAsia" w:hAnsiTheme="majorEastAsia" w:eastAsiaTheme="majorEastAsia" w:cstheme="majorEastAsia"/>
          <w:b/>
          <w:bCs/>
          <w:sz w:val="48"/>
          <w:szCs w:val="48"/>
          <w:lang w:val="en-US" w:eastAsia="zh-CN"/>
        </w:rPr>
        <w:t>3</w:t>
      </w:r>
      <w:r>
        <w:rPr>
          <w:rFonts w:hint="eastAsia" w:asciiTheme="majorEastAsia" w:hAnsiTheme="majorEastAsia" w:eastAsiaTheme="majorEastAsia" w:cstheme="majorEastAsia"/>
          <w:b/>
          <w:bCs/>
          <w:sz w:val="48"/>
          <w:szCs w:val="48"/>
        </w:rPr>
        <w:t>年度</w:t>
      </w:r>
      <w:r>
        <w:rPr>
          <w:rFonts w:hint="eastAsia" w:asciiTheme="majorEastAsia" w:hAnsiTheme="majorEastAsia" w:eastAsiaTheme="majorEastAsia" w:cstheme="majorEastAsia"/>
          <w:b/>
          <w:bCs/>
          <w:sz w:val="48"/>
          <w:szCs w:val="48"/>
          <w:lang w:val="en-US" w:eastAsia="zh-CN"/>
        </w:rPr>
        <w:t>邵阳市大祥区向阳小学</w:t>
      </w:r>
      <w:r>
        <w:rPr>
          <w:rFonts w:hint="eastAsia" w:asciiTheme="majorEastAsia" w:hAnsiTheme="majorEastAsia" w:eastAsiaTheme="majorEastAsia" w:cstheme="majorEastAsia"/>
          <w:b/>
          <w:bCs/>
          <w:sz w:val="48"/>
          <w:szCs w:val="48"/>
        </w:rPr>
        <w:t>部门整体支出绩效评价报告</w:t>
      </w:r>
    </w:p>
    <w:p w14:paraId="1066F3B3">
      <w:pPr>
        <w:ind w:firstLine="643" w:firstLineChars="200"/>
        <w:rPr>
          <w:rFonts w:hint="eastAsia" w:asciiTheme="minorEastAsia" w:hAnsiTheme="minorEastAsia" w:eastAsiaTheme="minorEastAsia" w:cstheme="minorEastAsia"/>
          <w:b/>
          <w:bCs/>
          <w:sz w:val="32"/>
          <w:szCs w:val="32"/>
        </w:rPr>
      </w:pPr>
    </w:p>
    <w:p w14:paraId="6F3BACB6">
      <w:pPr>
        <w:keepNext w:val="0"/>
        <w:keepLines w:val="0"/>
        <w:pageBreakBefore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Theme="minorEastAsia" w:hAnsiTheme="minorEastAsia" w:eastAsiaTheme="minorEastAsia" w:cstheme="minorEastAsia"/>
          <w:i w:val="0"/>
          <w:iCs w:val="0"/>
          <w:caps w:val="0"/>
          <w:color w:val="000000"/>
          <w:spacing w:val="0"/>
          <w:sz w:val="32"/>
          <w:szCs w:val="32"/>
          <w:lang w:val="en-US" w:eastAsia="zh-CN"/>
        </w:rPr>
      </w:pPr>
      <w:r>
        <w:rPr>
          <w:rFonts w:hint="eastAsia" w:asciiTheme="minorEastAsia" w:hAnsiTheme="minorEastAsia" w:eastAsiaTheme="minorEastAsia" w:cstheme="minorEastAsia"/>
          <w:b/>
          <w:bCs/>
          <w:sz w:val="32"/>
          <w:szCs w:val="32"/>
        </w:rPr>
        <w:t>一、部门整体支出概况</w:t>
      </w:r>
      <w:r>
        <w:rPr>
          <w:rFonts w:hint="eastAsia" w:asciiTheme="minorEastAsia" w:hAnsiTheme="minorEastAsia" w:eastAsiaTheme="minorEastAsia" w:cstheme="minorEastAsia"/>
          <w:i w:val="0"/>
          <w:iCs w:val="0"/>
          <w:caps w:val="0"/>
          <w:color w:val="000000"/>
          <w:spacing w:val="0"/>
          <w:sz w:val="32"/>
          <w:szCs w:val="32"/>
          <w:lang w:val="en-US" w:eastAsia="zh-CN"/>
        </w:rPr>
        <w:t xml:space="preserve">    </w:t>
      </w:r>
    </w:p>
    <w:p w14:paraId="5625BDCE">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i w:val="0"/>
          <w:iCs w:val="0"/>
          <w:caps w:val="0"/>
          <w:color w:val="000000"/>
          <w:spacing w:val="0"/>
          <w:sz w:val="32"/>
          <w:szCs w:val="32"/>
          <w:lang w:val="en-US" w:eastAsia="zh-CN"/>
        </w:rPr>
        <w:t>2</w:t>
      </w:r>
      <w:r>
        <w:rPr>
          <w:rFonts w:hint="eastAsia" w:asciiTheme="minorEastAsia" w:hAnsiTheme="minorEastAsia" w:eastAsiaTheme="minorEastAsia" w:cstheme="minorEastAsia"/>
          <w:i w:val="0"/>
          <w:iCs w:val="0"/>
          <w:caps w:val="0"/>
          <w:color w:val="000000"/>
          <w:spacing w:val="0"/>
          <w:sz w:val="32"/>
          <w:szCs w:val="32"/>
        </w:rPr>
        <w:t>023年度支出合计</w:t>
      </w:r>
      <w:r>
        <w:rPr>
          <w:rFonts w:hint="eastAsia" w:asciiTheme="minorEastAsia" w:hAnsiTheme="minorEastAsia" w:cstheme="minorEastAsia"/>
          <w:i w:val="0"/>
          <w:iCs w:val="0"/>
          <w:caps w:val="0"/>
          <w:color w:val="000000"/>
          <w:spacing w:val="0"/>
          <w:sz w:val="32"/>
          <w:szCs w:val="32"/>
          <w:lang w:val="en-US" w:eastAsia="zh-CN"/>
        </w:rPr>
        <w:t>351.8</w:t>
      </w:r>
      <w:r>
        <w:rPr>
          <w:rFonts w:hint="eastAsia" w:asciiTheme="minorEastAsia" w:hAnsiTheme="minorEastAsia" w:eastAsiaTheme="minorEastAsia" w:cstheme="minorEastAsia"/>
          <w:i w:val="0"/>
          <w:iCs w:val="0"/>
          <w:caps w:val="0"/>
          <w:color w:val="000000"/>
          <w:spacing w:val="0"/>
          <w:sz w:val="32"/>
          <w:szCs w:val="32"/>
        </w:rPr>
        <w:t>万元，其中：基本支出</w:t>
      </w:r>
      <w:r>
        <w:rPr>
          <w:rFonts w:hint="eastAsia" w:asciiTheme="minorEastAsia" w:hAnsiTheme="minorEastAsia" w:cstheme="minorEastAsia"/>
          <w:i w:val="0"/>
          <w:iCs w:val="0"/>
          <w:caps w:val="0"/>
          <w:color w:val="000000"/>
          <w:spacing w:val="0"/>
          <w:sz w:val="32"/>
          <w:szCs w:val="32"/>
          <w:lang w:val="en-US" w:eastAsia="zh-CN"/>
        </w:rPr>
        <w:t>289.55</w:t>
      </w:r>
      <w:r>
        <w:rPr>
          <w:rFonts w:hint="eastAsia" w:asciiTheme="minorEastAsia" w:hAnsiTheme="minorEastAsia" w:eastAsiaTheme="minorEastAsia" w:cstheme="minorEastAsia"/>
          <w:i w:val="0"/>
          <w:iCs w:val="0"/>
          <w:caps w:val="0"/>
          <w:color w:val="000000"/>
          <w:spacing w:val="0"/>
          <w:sz w:val="32"/>
          <w:szCs w:val="32"/>
        </w:rPr>
        <w:t>万元，占</w:t>
      </w:r>
      <w:r>
        <w:rPr>
          <w:rFonts w:hint="eastAsia" w:asciiTheme="minorEastAsia" w:hAnsiTheme="minorEastAsia" w:cstheme="minorEastAsia"/>
          <w:i w:val="0"/>
          <w:iCs w:val="0"/>
          <w:caps w:val="0"/>
          <w:color w:val="000000"/>
          <w:spacing w:val="0"/>
          <w:sz w:val="32"/>
          <w:szCs w:val="32"/>
          <w:lang w:val="en-US" w:eastAsia="zh-CN"/>
        </w:rPr>
        <w:t>82.31</w:t>
      </w:r>
      <w:r>
        <w:rPr>
          <w:rFonts w:hint="eastAsia" w:asciiTheme="minorEastAsia" w:hAnsiTheme="minorEastAsia" w:eastAsiaTheme="minorEastAsia" w:cstheme="minorEastAsia"/>
          <w:i w:val="0"/>
          <w:iCs w:val="0"/>
          <w:caps w:val="0"/>
          <w:color w:val="000000"/>
          <w:spacing w:val="0"/>
          <w:sz w:val="32"/>
          <w:szCs w:val="32"/>
        </w:rPr>
        <w:t>%</w:t>
      </w:r>
      <w:r>
        <w:rPr>
          <w:rFonts w:hint="eastAsia" w:asciiTheme="minorEastAsia" w:hAnsiTheme="minorEastAsia" w:eastAsiaTheme="minorEastAsia" w:cstheme="minorEastAsia"/>
          <w:i w:val="0"/>
          <w:iCs w:val="0"/>
          <w:caps w:val="0"/>
          <w:color w:val="000000"/>
          <w:spacing w:val="0"/>
          <w:sz w:val="32"/>
          <w:szCs w:val="32"/>
          <w:lang w:eastAsia="zh-CN"/>
        </w:rPr>
        <w:t>，</w:t>
      </w:r>
      <w:r>
        <w:rPr>
          <w:rFonts w:hint="eastAsia" w:asciiTheme="minorEastAsia" w:hAnsiTheme="minorEastAsia" w:eastAsiaTheme="minorEastAsia" w:cstheme="minorEastAsia"/>
          <w:i w:val="0"/>
          <w:iCs w:val="0"/>
          <w:caps w:val="0"/>
          <w:color w:val="000000"/>
          <w:spacing w:val="0"/>
          <w:sz w:val="32"/>
          <w:szCs w:val="32"/>
        </w:rPr>
        <w:t>主要包括：基本工资、奖金、绩效工资、机关事业单位基本养老保险缴费、职工基本医疗保险缴费、其他社会保障缴费、住房公积金、其他工资福利支出、抚恤金。项目支出</w:t>
      </w:r>
      <w:r>
        <w:rPr>
          <w:rFonts w:hint="eastAsia" w:asciiTheme="minorEastAsia" w:hAnsiTheme="minorEastAsia" w:cstheme="minorEastAsia"/>
          <w:i w:val="0"/>
          <w:iCs w:val="0"/>
          <w:caps w:val="0"/>
          <w:color w:val="000000"/>
          <w:spacing w:val="0"/>
          <w:sz w:val="32"/>
          <w:szCs w:val="32"/>
          <w:lang w:val="en-US" w:eastAsia="zh-CN"/>
        </w:rPr>
        <w:t>62.25</w:t>
      </w:r>
      <w:r>
        <w:rPr>
          <w:rFonts w:hint="eastAsia" w:asciiTheme="minorEastAsia" w:hAnsiTheme="minorEastAsia" w:eastAsiaTheme="minorEastAsia" w:cstheme="minorEastAsia"/>
          <w:i w:val="0"/>
          <w:iCs w:val="0"/>
          <w:caps w:val="0"/>
          <w:color w:val="000000"/>
          <w:spacing w:val="0"/>
          <w:sz w:val="32"/>
          <w:szCs w:val="32"/>
        </w:rPr>
        <w:t>万元，占</w:t>
      </w:r>
      <w:r>
        <w:rPr>
          <w:rFonts w:hint="eastAsia" w:asciiTheme="minorEastAsia" w:hAnsiTheme="minorEastAsia" w:cstheme="minorEastAsia"/>
          <w:i w:val="0"/>
          <w:iCs w:val="0"/>
          <w:caps w:val="0"/>
          <w:color w:val="000000"/>
          <w:spacing w:val="0"/>
          <w:sz w:val="32"/>
          <w:szCs w:val="32"/>
          <w:lang w:val="en-US" w:eastAsia="zh-CN"/>
        </w:rPr>
        <w:t>13.65</w:t>
      </w:r>
      <w:r>
        <w:rPr>
          <w:rFonts w:hint="eastAsia" w:asciiTheme="minorEastAsia" w:hAnsiTheme="minorEastAsia" w:eastAsiaTheme="minorEastAsia" w:cstheme="minorEastAsia"/>
          <w:i w:val="0"/>
          <w:iCs w:val="0"/>
          <w:caps w:val="0"/>
          <w:color w:val="000000"/>
          <w:spacing w:val="0"/>
          <w:sz w:val="32"/>
          <w:szCs w:val="32"/>
        </w:rPr>
        <w:t>%；上缴上级支出0万元，占0%；经营支出0万元，占0%；对附属单位补助支出0万元，占0%。</w:t>
      </w:r>
    </w:p>
    <w:p w14:paraId="152F71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color w:val="000000"/>
          <w:kern w:val="0"/>
          <w:sz w:val="32"/>
          <w:szCs w:val="32"/>
          <w:lang w:val="en-US" w:eastAsia="zh-CN" w:bidi="ar"/>
        </w:rPr>
        <w:t>（二）部门整体支出绩效目标</w:t>
      </w:r>
    </w:p>
    <w:p w14:paraId="439C18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预决算公开：根据区财政局的统一部署及相关要求，我校已在大祥信息网站上进行了预（决）算公开。</w:t>
      </w:r>
    </w:p>
    <w:p w14:paraId="7FFBB4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资产管理：重新修订了国有资产管理规定，建立了固定资产台帐，指定专人管理，及时登记，科学使用。固定资产的折旧、购入、调出、处置、报废、报损严格执行国家有关规定的审批程序办理。</w:t>
      </w:r>
    </w:p>
    <w:p w14:paraId="4EAC83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“三公”经费控制：2023年，我校“三公”经费支出0万元，其中：公务用车运行维护费0万元，公务接待费0万元，无出国出境费。</w:t>
      </w:r>
    </w:p>
    <w:p w14:paraId="037DAD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内部控制制度建设：近年来，我校先后制定了《向阳小学内部控制制度》、《向阳小学教育专项资金管理规定》、《进一步加强和规范向阳小学财务管理暂行办法》、《向阳小学国有资产管理办法》等一系列内部控制制度，相关制度合法合规、完整，并得到有效执行。</w:t>
      </w:r>
    </w:p>
    <w:p w14:paraId="6D4B12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color w:val="000000"/>
          <w:kern w:val="0"/>
          <w:sz w:val="32"/>
          <w:szCs w:val="32"/>
          <w:lang w:val="en-US" w:eastAsia="zh-CN" w:bidi="ar"/>
        </w:rPr>
        <w:t>（三）部门整体支出实施情况分析</w:t>
      </w:r>
    </w:p>
    <w:p w14:paraId="531081F5">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Theme="minorEastAsia" w:hAnsiTheme="minorEastAsia" w:eastAsiaTheme="minorEastAsia" w:cstheme="minorEastAsia"/>
          <w:color w:val="000000"/>
          <w:kern w:val="0"/>
          <w:sz w:val="32"/>
          <w:szCs w:val="32"/>
          <w:lang w:val="en-US" w:eastAsia="zh-CN" w:bidi="ar"/>
        </w:rPr>
      </w:pPr>
      <w:r>
        <w:rPr>
          <w:rFonts w:hint="eastAsia" w:asciiTheme="minorEastAsia" w:hAnsiTheme="minorEastAsia" w:eastAsiaTheme="minorEastAsia" w:cstheme="minorEastAsia"/>
          <w:color w:val="000000"/>
          <w:kern w:val="0"/>
          <w:sz w:val="32"/>
          <w:szCs w:val="32"/>
          <w:lang w:val="en-US" w:eastAsia="zh-CN" w:bidi="ar"/>
        </w:rPr>
        <w:t>我校在部门整体支出中，严格按照年初预算安排，严格遵守资金管理制度，强化监督，专款专用，确保各项资金及时到位，无截留、挪用等现象。健全和完善管理制度，加强基本支出管理。严格审批程序，严格执行国家规定的开支范围及开支标准，量入为出，坚持会审制度。严格报账程序，严格完善相关资料手续、审核审批程序，保证了各项资金使用的合理合规，充分发挥了各项资金的效益性。</w:t>
      </w:r>
    </w:p>
    <w:p w14:paraId="30E614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color w:val="000000"/>
          <w:kern w:val="0"/>
          <w:sz w:val="32"/>
          <w:szCs w:val="32"/>
          <w:lang w:val="en-US" w:eastAsia="zh-CN" w:bidi="ar"/>
        </w:rPr>
        <w:t>二、绩效评价工作情况</w:t>
      </w:r>
    </w:p>
    <w:p w14:paraId="4E85E8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color w:val="000000"/>
          <w:kern w:val="0"/>
          <w:sz w:val="32"/>
          <w:szCs w:val="32"/>
          <w:lang w:val="en-US" w:eastAsia="zh-CN" w:bidi="ar"/>
        </w:rPr>
        <w:t>（一）绩效评价目的</w:t>
      </w:r>
    </w:p>
    <w:p w14:paraId="392088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本次绩效评价的目的是为了全面分析和综合评价我单位本级财政预算资金的使用管理情况，为切实提高财政资金使用效益，强化预算支出的责任和效率提供参考依据。</w:t>
      </w:r>
    </w:p>
    <w:p w14:paraId="035EB3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color w:val="000000"/>
          <w:kern w:val="0"/>
          <w:sz w:val="32"/>
          <w:szCs w:val="32"/>
          <w:lang w:val="en-US" w:eastAsia="zh-CN" w:bidi="ar"/>
        </w:rPr>
        <w:t>（二）绩效评价工作过程</w:t>
      </w:r>
    </w:p>
    <w:p w14:paraId="03820E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1、前期准备。按照绩效自评工作要求，成立了以夏伟校长为组长的绩效评价工作小组，完成了各项现场评价工作。现场绩效评价工作主要有：</w:t>
      </w:r>
    </w:p>
    <w:p w14:paraId="358C00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①核实数据。对2023年度部门整体支出数据的准确性、真实性进行核实，将2023年度和2022年度部门整体支出情况进行比较分析。</w:t>
      </w:r>
    </w:p>
    <w:p w14:paraId="7E97BE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②查阅资料。查阅2023年度预算安排、非税收入、资金管理、经费支出、资产管理等相关文件资料和财务凭证。</w:t>
      </w:r>
    </w:p>
    <w:p w14:paraId="7C7CD6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③实地查看。现场查看实物资产等。</w:t>
      </w:r>
    </w:p>
    <w:p w14:paraId="2A0049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④归纳汇总。对提供的材料及自评报告，结合现场评价情况进行综合分析、归纳汇总。</w:t>
      </w:r>
    </w:p>
    <w:p w14:paraId="4451E1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⑤评价组对各项评价指标进行分析讨论。</w:t>
      </w:r>
    </w:p>
    <w:p w14:paraId="52B2B2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⑥形成绩效评价报告。</w:t>
      </w:r>
    </w:p>
    <w:p w14:paraId="4498DF2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643"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color w:val="000000"/>
          <w:kern w:val="0"/>
          <w:sz w:val="32"/>
          <w:szCs w:val="32"/>
          <w:lang w:val="en-US" w:eastAsia="zh-CN" w:bidi="ar"/>
        </w:rPr>
        <w:t>三、</w:t>
      </w:r>
      <w:r>
        <w:rPr>
          <w:rFonts w:hint="eastAsia" w:asciiTheme="minorEastAsia" w:hAnsiTheme="minorEastAsia" w:eastAsiaTheme="minorEastAsia" w:cstheme="minorEastAsia"/>
          <w:b/>
          <w:bCs w:val="0"/>
          <w:color w:val="000000"/>
          <w:kern w:val="0"/>
          <w:sz w:val="32"/>
          <w:szCs w:val="32"/>
          <w:lang w:val="en-US" w:eastAsia="zh-CN" w:bidi="ar"/>
        </w:rPr>
        <w:t>主要绩效及评价结论</w:t>
      </w:r>
    </w:p>
    <w:p w14:paraId="43C96C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3"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color w:val="000000"/>
          <w:kern w:val="0"/>
          <w:sz w:val="32"/>
          <w:szCs w:val="32"/>
          <w:lang w:val="en-US" w:eastAsia="zh-CN" w:bidi="ar"/>
        </w:rPr>
        <w:t>主要绩效</w:t>
      </w:r>
    </w:p>
    <w:p w14:paraId="38499C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1、师资队伍建设</w:t>
      </w:r>
    </w:p>
    <w:p w14:paraId="255713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人才引进与培养：学校积极引进高水平教师，扩大教职员工队伍。同时，加强了对现有教师的培训和培养，通过组织各类教学研讨会、专业技能培训等活动，提高了教师的教学水平和专业素养。</w:t>
      </w:r>
    </w:p>
    <w:p w14:paraId="3B877B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激励机制完善：根据新形势需要，学校修订了教务各岗位的岗位职责，并补充调整了奖惩制度。通过“两评四考”等激励措施，有效激发了教师的工作积极性和创造力。</w:t>
      </w:r>
    </w:p>
    <w:p w14:paraId="3A9CB7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2、学生全面发展</w:t>
      </w:r>
    </w:p>
    <w:p w14:paraId="254702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Theme="minorEastAsia" w:hAnsiTheme="minorEastAsia" w:eastAsiaTheme="minorEastAsia" w:cstheme="minorEastAsia"/>
          <w:kern w:val="2"/>
          <w:sz w:val="32"/>
          <w:szCs w:val="32"/>
          <w:lang w:val="en-US" w:eastAsia="zh-CN" w:bidi="ar"/>
        </w:rPr>
      </w:pPr>
      <w:r>
        <w:rPr>
          <w:rFonts w:hint="eastAsia" w:asciiTheme="minorEastAsia" w:hAnsiTheme="minorEastAsia" w:eastAsiaTheme="minorEastAsia" w:cstheme="minorEastAsia"/>
          <w:kern w:val="2"/>
          <w:sz w:val="32"/>
          <w:szCs w:val="32"/>
          <w:lang w:val="en-US" w:eastAsia="zh-CN" w:bidi="ar"/>
        </w:rPr>
        <w:t>综合素质培养：学校注重学生综合素质的培养，鼓励学生参与各类课外活动和社会实践。通过举办科技比赛、足球比赛、篮球比赛等活动，丰富了学生的校园生活，锻炼了学生的团队协作能力和社交技能。</w:t>
      </w:r>
    </w:p>
    <w:p w14:paraId="1D96ED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心理健康教育：学校加强了对学生的心理健康教育，通过开设心理健康教育课程、建立心理咨询室等措施，帮助学生解决心理困扰，培养健康的心态和人格。</w:t>
      </w:r>
    </w:p>
    <w:p w14:paraId="2B16E2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3、校园文化建设</w:t>
      </w:r>
    </w:p>
    <w:p w14:paraId="2D6A73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文化氛围营造：学校注重营造积极向上的校园文化氛围，通过手抄报、黑板报等活动，让学生们在轻松愉快的氛围中感受文化的魅力。同时，加强了对校园环境的整治和美化工作，为师生创造了一个舒适、宜人的学习和生活环境。</w:t>
      </w:r>
    </w:p>
    <w:p w14:paraId="63F647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4、特色品牌建设</w:t>
      </w:r>
    </w:p>
    <w:p w14:paraId="30742C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学校结合自身实际，积极推进足球特色、校本课程阅读特色，通过挖掘和传承历史文化底蕴，打造具有鲜明特色的校园文化品牌，提升了学校的知名度和美誉度。</w:t>
      </w:r>
    </w:p>
    <w:p w14:paraId="02442B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3"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color w:val="000000"/>
          <w:kern w:val="0"/>
          <w:sz w:val="32"/>
          <w:szCs w:val="32"/>
          <w:lang w:val="en-US" w:eastAsia="zh-CN" w:bidi="ar"/>
        </w:rPr>
        <w:t>评价结论</w:t>
      </w:r>
      <w:r>
        <w:rPr>
          <w:rFonts w:hint="eastAsia" w:asciiTheme="minorEastAsia" w:hAnsiTheme="minorEastAsia" w:eastAsiaTheme="minorEastAsia" w:cstheme="minorEastAsia"/>
          <w:b/>
          <w:bCs w:val="0"/>
          <w:color w:val="000000"/>
          <w:kern w:val="0"/>
          <w:sz w:val="32"/>
          <w:szCs w:val="32"/>
          <w:lang w:val="en-US" w:eastAsia="zh-CN" w:bidi="ar"/>
        </w:rPr>
        <w:t>：</w:t>
      </w:r>
    </w:p>
    <w:p w14:paraId="441585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单位预算编制科学，民主理财、公开理财氛围浓厚，重大财务事项经由集体研究决策，财务制度健全。</w:t>
      </w:r>
      <w:r>
        <w:rPr>
          <w:rFonts w:hint="eastAsia" w:asciiTheme="minorEastAsia" w:hAnsiTheme="minorEastAsia" w:eastAsiaTheme="minorEastAsia" w:cstheme="minorEastAsia"/>
          <w:kern w:val="0"/>
          <w:sz w:val="32"/>
          <w:szCs w:val="32"/>
          <w:lang w:val="en-US" w:eastAsia="zh-CN" w:bidi="ar"/>
        </w:rPr>
        <w:t>预算管理方面。我校制定了切实有效的内部管理制度和经费支出控制方案，有较强的内控风险管理意识、各项经费支出得到了有效控制。</w:t>
      </w:r>
    </w:p>
    <w:p w14:paraId="28F3C0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kern w:val="0"/>
          <w:sz w:val="32"/>
          <w:szCs w:val="32"/>
          <w:lang w:val="en-US" w:eastAsia="zh-CN" w:bidi="ar"/>
        </w:rPr>
        <w:t>四、存在的问题</w:t>
      </w:r>
    </w:p>
    <w:p w14:paraId="531367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因部分工作是年中或年末根据市、区相关要求开展，未纳入年初预算，另外还有部分不可预见经费的追加，无法纳入预算，导致预算执行存在偏差。固定资产管理有待进一步规范</w:t>
      </w:r>
      <w:r>
        <w:rPr>
          <w:rFonts w:hint="eastAsia" w:asciiTheme="minorEastAsia" w:hAnsiTheme="minorEastAsia" w:cstheme="minorEastAsia"/>
          <w:kern w:val="0"/>
          <w:sz w:val="32"/>
          <w:szCs w:val="32"/>
          <w:lang w:val="en-US" w:eastAsia="zh-CN" w:bidi="ar"/>
        </w:rPr>
        <w:t>，</w:t>
      </w:r>
      <w:r>
        <w:rPr>
          <w:rFonts w:hint="eastAsia" w:asciiTheme="minorEastAsia" w:hAnsiTheme="minorEastAsia" w:eastAsiaTheme="minorEastAsia" w:cstheme="minorEastAsia"/>
          <w:kern w:val="0"/>
          <w:sz w:val="32"/>
          <w:szCs w:val="32"/>
          <w:lang w:val="en-US" w:eastAsia="zh-CN" w:bidi="ar"/>
        </w:rPr>
        <w:t>有些房屋建筑物尚未办理房屋产权证。</w:t>
      </w:r>
    </w:p>
    <w:p w14:paraId="3E36D6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kern w:val="0"/>
          <w:sz w:val="32"/>
          <w:szCs w:val="32"/>
          <w:lang w:val="en-US" w:eastAsia="zh-CN" w:bidi="ar"/>
        </w:rPr>
        <w:t>五、有关建议</w:t>
      </w:r>
    </w:p>
    <w:p w14:paraId="69A4F7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   科学合理编制预算，严格执行预算,避免年中大幅追加以及超预算。同时严格预算执行，提高资金使用效率。进一步完善、明确和细化各项费用支出管理制度，严格按规定压缩一般性支出。</w:t>
      </w:r>
    </w:p>
    <w:p w14:paraId="2CE03B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    加强固定资产的管理，配置专管部门和专管人员，对固定资产进行一次全面清查盘点，建立固定资产卡片，切实做到账卡相符、账物相符。</w:t>
      </w:r>
    </w:p>
    <w:p w14:paraId="171345E4">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Theme="minorEastAsia" w:hAnsiTheme="minorEastAsia" w:eastAsiaTheme="minorEastAsia" w:cstheme="minorEastAsia"/>
          <w:sz w:val="32"/>
          <w:szCs w:val="32"/>
        </w:rPr>
      </w:pPr>
    </w:p>
    <w:p w14:paraId="65A1FD13">
      <w:pPr>
        <w:keepNext w:val="0"/>
        <w:keepLines w:val="0"/>
        <w:pageBreakBefore w:val="0"/>
        <w:kinsoku/>
        <w:wordWrap/>
        <w:overflowPunct/>
        <w:topLinePunct w:val="0"/>
        <w:autoSpaceDE/>
        <w:autoSpaceDN/>
        <w:bidi w:val="0"/>
        <w:adjustRightInd/>
        <w:snapToGrid/>
        <w:spacing w:beforeAutospacing="0" w:afterAutospacing="0" w:line="240" w:lineRule="auto"/>
        <w:jc w:val="right"/>
        <w:textAlignment w:val="auto"/>
        <w:rPr>
          <w:rFonts w:hint="default"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邵阳市大祥区檀江乡中心完小</w:t>
      </w:r>
    </w:p>
    <w:p w14:paraId="0EF3D33C">
      <w:pPr>
        <w:keepNext w:val="0"/>
        <w:keepLines w:val="0"/>
        <w:pageBreakBefore w:val="0"/>
        <w:kinsoku/>
        <w:wordWrap/>
        <w:overflowPunct/>
        <w:topLinePunct w:val="0"/>
        <w:autoSpaceDE/>
        <w:autoSpaceDN/>
        <w:bidi w:val="0"/>
        <w:adjustRightInd/>
        <w:snapToGrid/>
        <w:spacing w:beforeAutospacing="0" w:afterAutospacing="0" w:line="240" w:lineRule="auto"/>
        <w:jc w:val="right"/>
        <w:textAlignment w:val="auto"/>
        <w:rPr>
          <w:rFonts w:hint="default"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2024年10月24</w:t>
      </w:r>
      <w:bookmarkStart w:id="0" w:name="_GoBack"/>
      <w:bookmarkEnd w:id="0"/>
      <w:r>
        <w:rPr>
          <w:rFonts w:hint="eastAsia" w:asciiTheme="minorEastAsia" w:hAnsiTheme="minorEastAsia" w:cstheme="minorEastAsia"/>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kOWRhN2QwYjBjNjliOWY0MzNhOGVmZjQwNjhjODgifQ=="/>
  </w:docVars>
  <w:rsids>
    <w:rsidRoot w:val="43297FB2"/>
    <w:rsid w:val="16375934"/>
    <w:rsid w:val="43297FB2"/>
    <w:rsid w:val="68D46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1962</Words>
  <Characters>2027</Characters>
  <Lines>0</Lines>
  <Paragraphs>0</Paragraphs>
  <TotalTime>7</TotalTime>
  <ScaleCrop>false</ScaleCrop>
  <LinksUpToDate>false</LinksUpToDate>
  <CharactersWithSpaces>2031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2024-10-17T07:23:00Z</dcterms:created>
  <dc:creator>杰</dc:creator>
  <cp:lastModifiedBy>黄鲲</cp:lastModifiedBy>
  <dcterms:modified xsi:type="dcterms:W3CDTF">2024-10-23T07:01:25Z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77D5B5BEDFFA4EDC93C46A748862084B_13</vt:lpwstr>
  </property>
</Properties>
</file>