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24710">
      <w:pPr>
        <w:jc w:val="center"/>
        <w:rPr>
          <w:rFonts w:hint="eastAsia"/>
          <w:sz w:val="48"/>
          <w:szCs w:val="48"/>
        </w:rPr>
      </w:pPr>
      <w:r>
        <w:rPr>
          <w:rFonts w:hint="eastAsia" w:asciiTheme="majorEastAsia" w:hAnsiTheme="majorEastAsia" w:eastAsiaTheme="majorEastAsia" w:cstheme="majorEastAsia"/>
          <w:b/>
          <w:bCs/>
          <w:sz w:val="48"/>
          <w:szCs w:val="48"/>
        </w:rPr>
        <w:t>202</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rPr>
        <w:t>年度</w:t>
      </w:r>
      <w:r>
        <w:rPr>
          <w:rFonts w:hint="eastAsia" w:asciiTheme="majorEastAsia" w:hAnsiTheme="majorEastAsia" w:eastAsiaTheme="majorEastAsia" w:cstheme="majorEastAsia"/>
          <w:b/>
          <w:bCs/>
          <w:sz w:val="48"/>
          <w:szCs w:val="48"/>
          <w:lang w:val="en-US" w:eastAsia="zh-CN"/>
        </w:rPr>
        <w:t>邵阳市大祥区向阳小学</w:t>
      </w:r>
      <w:r>
        <w:rPr>
          <w:rFonts w:hint="eastAsia" w:asciiTheme="majorEastAsia" w:hAnsiTheme="majorEastAsia" w:eastAsiaTheme="majorEastAsia" w:cstheme="majorEastAsia"/>
          <w:b/>
          <w:bCs/>
          <w:sz w:val="48"/>
          <w:szCs w:val="48"/>
        </w:rPr>
        <w:t>部门整体支出绩效评价报告</w:t>
      </w:r>
    </w:p>
    <w:p w14:paraId="1066F3B3">
      <w:pPr>
        <w:ind w:firstLine="643" w:firstLineChars="200"/>
        <w:rPr>
          <w:rFonts w:hint="eastAsia" w:asciiTheme="minorEastAsia" w:hAnsiTheme="minorEastAsia" w:eastAsiaTheme="minorEastAsia" w:cstheme="minorEastAsia"/>
          <w:b/>
          <w:bCs/>
          <w:sz w:val="32"/>
          <w:szCs w:val="32"/>
        </w:rPr>
      </w:pPr>
    </w:p>
    <w:p w14:paraId="6F3BACB6">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Theme="minorEastAsia" w:hAnsiTheme="minorEastAsia" w:eastAsiaTheme="minorEastAsia" w:cstheme="minorEastAsia"/>
          <w:i w:val="0"/>
          <w:iCs w:val="0"/>
          <w:caps w:val="0"/>
          <w:color w:val="000000"/>
          <w:spacing w:val="0"/>
          <w:sz w:val="32"/>
          <w:szCs w:val="32"/>
          <w:lang w:val="en-US" w:eastAsia="zh-CN"/>
        </w:rPr>
      </w:pPr>
      <w:r>
        <w:rPr>
          <w:rFonts w:hint="eastAsia" w:asciiTheme="minorEastAsia" w:hAnsiTheme="minorEastAsia" w:eastAsiaTheme="minorEastAsia" w:cstheme="minorEastAsia"/>
          <w:b/>
          <w:bCs/>
          <w:sz w:val="32"/>
          <w:szCs w:val="32"/>
        </w:rPr>
        <w:t>一、部门整体支出概况</w:t>
      </w:r>
      <w:r>
        <w:rPr>
          <w:rFonts w:hint="eastAsia" w:asciiTheme="minorEastAsia" w:hAnsiTheme="minorEastAsia" w:eastAsiaTheme="minorEastAsia" w:cstheme="minorEastAsia"/>
          <w:i w:val="0"/>
          <w:iCs w:val="0"/>
          <w:caps w:val="0"/>
          <w:color w:val="000000"/>
          <w:spacing w:val="0"/>
          <w:sz w:val="32"/>
          <w:szCs w:val="32"/>
          <w:lang w:val="en-US" w:eastAsia="zh-CN"/>
        </w:rPr>
        <w:t xml:space="preserve">    </w:t>
      </w:r>
    </w:p>
    <w:p w14:paraId="5625BDCE">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lang w:val="en-US" w:eastAsia="zh-CN"/>
        </w:rPr>
        <w:t>2</w:t>
      </w:r>
      <w:r>
        <w:rPr>
          <w:rFonts w:hint="eastAsia" w:asciiTheme="minorEastAsia" w:hAnsiTheme="minorEastAsia" w:eastAsiaTheme="minorEastAsia" w:cstheme="minorEastAsia"/>
          <w:i w:val="0"/>
          <w:iCs w:val="0"/>
          <w:caps w:val="0"/>
          <w:color w:val="000000"/>
          <w:spacing w:val="0"/>
          <w:sz w:val="32"/>
          <w:szCs w:val="32"/>
        </w:rPr>
        <w:t>023年度支出合计1,725.87万元，其中：基本支出1,555.55万元，占90.13%</w:t>
      </w:r>
      <w:r>
        <w:rPr>
          <w:rFonts w:hint="eastAsia" w:asciiTheme="minorEastAsia" w:hAnsiTheme="minorEastAsia" w:eastAsiaTheme="minorEastAsia" w:cstheme="minorEastAsia"/>
          <w:i w:val="0"/>
          <w:iCs w:val="0"/>
          <w:caps w:val="0"/>
          <w:color w:val="000000"/>
          <w:spacing w:val="0"/>
          <w:sz w:val="32"/>
          <w:szCs w:val="32"/>
          <w:lang w:eastAsia="zh-CN"/>
        </w:rPr>
        <w:t>，</w:t>
      </w:r>
      <w:r>
        <w:rPr>
          <w:rFonts w:hint="eastAsia" w:asciiTheme="minorEastAsia" w:hAnsiTheme="minorEastAsia" w:eastAsiaTheme="minorEastAsia" w:cstheme="minorEastAsia"/>
          <w:i w:val="0"/>
          <w:iCs w:val="0"/>
          <w:caps w:val="0"/>
          <w:color w:val="000000"/>
          <w:spacing w:val="0"/>
          <w:sz w:val="32"/>
          <w:szCs w:val="32"/>
        </w:rPr>
        <w:t>主要包括：基本工资、奖金、绩效工资、机关事业单位基本养老保险缴费、职工基本医疗保险缴费、其他社会保障缴费、住房公积金、其他工资福利支出、抚恤金。项目支出170.32万元，占9.87%；上缴上级支出0万元，占0%；经营支出0万元，占0%；对附属单位补助支出0万元，占0%。</w:t>
      </w:r>
    </w:p>
    <w:p w14:paraId="152F7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（二）部门整体支出绩效目标</w:t>
      </w:r>
    </w:p>
    <w:p w14:paraId="439C1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预决算公开：根据区财政局的统一部署及相关要求，我校已在大祥信息网站上进行了预（决）算公开。</w:t>
      </w:r>
    </w:p>
    <w:p w14:paraId="7FFBB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14:paraId="4EAC8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“三公”经费控制：2023年，我校“三公”经费支出0万元，其中：公务用车运行维护费0万元，公务接待费0万元，无出国出境费。</w:t>
      </w:r>
    </w:p>
    <w:p w14:paraId="037DA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内部控制制度建设：近年来，我校先后制定了《向阳小学内部控制制度》、《向阳小学教育专项资金管理规定》、《进一步加强和规范向阳小学财务管理暂行办法》、《向阳小学国有资产管理办法》等一系列内部控制制度，相关制度合法合规、完整，并得到有效执行。</w:t>
      </w:r>
    </w:p>
    <w:p w14:paraId="6D4B1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（三）部门整体支出实施情况分析</w:t>
      </w:r>
    </w:p>
    <w:p w14:paraId="531081F5">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14:paraId="30E61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二、绩效评价工作情况</w:t>
      </w:r>
    </w:p>
    <w:p w14:paraId="4E85E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（一）绩效评价目的</w:t>
      </w:r>
    </w:p>
    <w:p w14:paraId="39208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本次绩效评价的目的是为了全面分析和综合评价我单位本级财政预算资金的使用管理情况，为切实提高财政资金使用效益，强化预算支出的责任和效率提供参考依据。</w:t>
      </w:r>
    </w:p>
    <w:p w14:paraId="035EB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（二）绩效评价工作过程</w:t>
      </w:r>
    </w:p>
    <w:p w14:paraId="03820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1、前期准备。按照绩效自评工作要求，成立了以夏伟校长为组长的绩效评价工作小组，完成了各项现场评价工作。现场绩效评价工作主要有：</w:t>
      </w:r>
    </w:p>
    <w:p w14:paraId="358C0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①核实数据。对2023年度部门整体支出数据的准确性、真实性进行核实，将2023年度和2022年度部门整体支出情况进行比较分析。</w:t>
      </w:r>
    </w:p>
    <w:p w14:paraId="7E97B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②查阅资料。查阅2023年度预算安排、非税收入、资金管理、经费支出、资产管理等相关文件资料和财务凭证。</w:t>
      </w:r>
    </w:p>
    <w:p w14:paraId="7C7CD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③实地查看。现场查看实物资产等。</w:t>
      </w:r>
    </w:p>
    <w:p w14:paraId="2A004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④归纳汇总。对提供的材料及自评报告，结合现场评价情况进行综合分析、归纳汇总。</w:t>
      </w:r>
    </w:p>
    <w:p w14:paraId="4451E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⑤评价组对各项评价指标进行分析讨论。</w:t>
      </w:r>
    </w:p>
    <w:p w14:paraId="52B2B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⑥形成绩效评价报告。</w:t>
      </w:r>
    </w:p>
    <w:p w14:paraId="4498DF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000000"/>
          <w:kern w:val="0"/>
          <w:sz w:val="32"/>
          <w:szCs w:val="32"/>
          <w:lang w:val="en-US" w:eastAsia="zh-CN" w:bidi="ar"/>
        </w:rPr>
        <w:t>三、</w:t>
      </w:r>
      <w:r>
        <w:rPr>
          <w:rFonts w:hint="eastAsia" w:asciiTheme="minorEastAsia" w:hAnsiTheme="minorEastAsia" w:eastAsiaTheme="minorEastAsia" w:cstheme="minorEastAsia"/>
          <w:b/>
          <w:bCs w:val="0"/>
          <w:color w:val="000000"/>
          <w:kern w:val="0"/>
          <w:sz w:val="32"/>
          <w:szCs w:val="32"/>
          <w:lang w:val="en-US" w:eastAsia="zh-CN" w:bidi="ar"/>
        </w:rPr>
        <w:t>主要绩效及评价结论</w:t>
      </w:r>
    </w:p>
    <w:p w14:paraId="43C96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主要绩效</w:t>
      </w:r>
    </w:p>
    <w:p w14:paraId="38499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1、师资队伍建设</w:t>
      </w:r>
    </w:p>
    <w:p w14:paraId="25571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14:paraId="3B877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激励机制完善：根据新形势需要，学校修订了教务各岗位的岗位职责，并补充调整了奖惩制度。通过“两评四考”等激励措施，有效激发了教师的工作积极性和创造力。</w:t>
      </w:r>
    </w:p>
    <w:p w14:paraId="3A9CB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2、学生全面发展</w:t>
      </w:r>
    </w:p>
    <w:p w14:paraId="25470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
        </w:rPr>
      </w:pPr>
      <w:r>
        <w:rPr>
          <w:rFonts w:hint="eastAsia" w:asciiTheme="minorEastAsia" w:hAnsiTheme="minorEastAsia" w:eastAsiaTheme="minorEastAsia" w:cstheme="minorEastAsia"/>
          <w:kern w:val="2"/>
          <w:sz w:val="32"/>
          <w:szCs w:val="32"/>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14:paraId="1D96E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心理健康教育：学校加强了对学生的心理健康教育，通过开设心理健康教育课程、建立心理咨询室等措施，帮助学生解决心理困扰，培养健康的心态和人格。</w:t>
      </w:r>
    </w:p>
    <w:p w14:paraId="2B16E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3、校园文化建设</w:t>
      </w:r>
    </w:p>
    <w:p w14:paraId="2D6A7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14:paraId="63F64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4、特色品牌建设</w:t>
      </w:r>
    </w:p>
    <w:p w14:paraId="30742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学校结合自身实际，积极推进足球特色、校本课程阅读特色，通过挖掘和传承历史文化底蕴，打造具有鲜明特色的校园文化品牌，提升了学校的知名度和美誉度。</w:t>
      </w:r>
    </w:p>
    <w:p w14:paraId="02442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评价结论</w:t>
      </w:r>
      <w:r>
        <w:rPr>
          <w:rFonts w:hint="eastAsia" w:asciiTheme="minorEastAsia" w:hAnsiTheme="minorEastAsia" w:eastAsiaTheme="minorEastAsia" w:cstheme="minorEastAsia"/>
          <w:b/>
          <w:bCs w:val="0"/>
          <w:color w:val="000000"/>
          <w:kern w:val="0"/>
          <w:sz w:val="32"/>
          <w:szCs w:val="32"/>
          <w:lang w:val="en-US" w:eastAsia="zh-CN" w:bidi="ar"/>
        </w:rPr>
        <w:t>：</w:t>
      </w:r>
    </w:p>
    <w:p w14:paraId="44158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单位预算编制科学，民主理财、公开理财氛围浓厚，重大财务事项经由集体研究决策，财务制度健全。</w:t>
      </w:r>
      <w:r>
        <w:rPr>
          <w:rFonts w:hint="eastAsia" w:asciiTheme="minorEastAsia" w:hAnsiTheme="minorEastAsia" w:eastAsiaTheme="minorEastAsia" w:cstheme="minorEastAsia"/>
          <w:kern w:val="0"/>
          <w:sz w:val="32"/>
          <w:szCs w:val="32"/>
          <w:lang w:val="en-US" w:eastAsia="zh-CN" w:bidi="ar"/>
        </w:rPr>
        <w:t>预算管理方面。我校制定了切实有效的内部管理制度和经费支出控制方案，有较强的内控风险管理意识、各项经费支出得到了有效控制。</w:t>
      </w:r>
    </w:p>
    <w:p w14:paraId="28F3C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四、存在的问题</w:t>
      </w:r>
    </w:p>
    <w:p w14:paraId="53136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因部分工作是年中或年末根据市、区相关要求开展，未纳入年初预算，另外还有部分不可预见经费的追加，无法纳入预算，导致预算执行存在偏差。固定资产管理有待进一步规范</w:t>
      </w:r>
      <w:r>
        <w:rPr>
          <w:rFonts w:hint="eastAsia" w:asciiTheme="minorEastAsia" w:hAnsiTheme="minorEastAsia" w:cstheme="minorEastAsia"/>
          <w:kern w:val="0"/>
          <w:sz w:val="32"/>
          <w:szCs w:val="32"/>
          <w:lang w:val="en-US" w:eastAsia="zh-CN" w:bidi="ar"/>
        </w:rPr>
        <w:t>，</w:t>
      </w:r>
      <w:r>
        <w:rPr>
          <w:rFonts w:hint="eastAsia" w:asciiTheme="minorEastAsia" w:hAnsiTheme="minorEastAsia" w:eastAsiaTheme="minorEastAsia" w:cstheme="minorEastAsia"/>
          <w:kern w:val="0"/>
          <w:sz w:val="32"/>
          <w:szCs w:val="32"/>
          <w:lang w:val="en-US" w:eastAsia="zh-CN" w:bidi="ar"/>
        </w:rPr>
        <w:t>有些房屋建筑物尚未办理房屋产权证。</w:t>
      </w:r>
    </w:p>
    <w:p w14:paraId="3E36D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五、有关建议</w:t>
      </w:r>
    </w:p>
    <w:p w14:paraId="69A4F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14:paraId="2CE03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    加强固定资产的管理，配置专管部门和专管人员，对固定资产进行一次全面清查盘点，建立固定资产卡片，切实做到账卡相符、账物相符。</w:t>
      </w:r>
    </w:p>
    <w:p w14:paraId="171345E4">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32"/>
          <w:szCs w:val="32"/>
        </w:rPr>
      </w:pPr>
    </w:p>
    <w:p w14:paraId="65A1FD13">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邵阳市大祥区向阳小学</w:t>
      </w:r>
    </w:p>
    <w:p w14:paraId="0EF3D33C">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2024年10月15日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DYzMTA1NjIwYjFlNTk3NmJiZDg1YTMwNmE5MTYifQ=="/>
  </w:docVars>
  <w:rsids>
    <w:rsidRoot w:val="43297FB2"/>
    <w:rsid w:val="43297FB2"/>
    <w:rsid w:val="68D4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2024-10-17T07:23:00Z</dcterms:created>
  <dc:creator>杰</dc:creator>
  <cp:lastModifiedBy>杰</cp:lastModifiedBy>
  <dcterms:modified xsi:type="dcterms:W3CDTF">2024-10-18T01:10:33Z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8AE109E9E3974DF184B49F04B205F275_11</vt:lpwstr>
  </property>
</Properties>
</file>